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</w:rPr>
        <w:t>证券代码：000966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ab/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 xml:space="preserve">  </w:t>
      </w:r>
      <w:r>
        <w:rPr>
          <w:rFonts w:hint="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 xml:space="preserve">   证券简称：长源电力     </w:t>
      </w:r>
      <w:r>
        <w:rPr>
          <w:rFonts w:hint="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 xml:space="preserve"> 公告编号：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</w:rPr>
        <w:t>20</w:t>
      </w:r>
      <w:r>
        <w:rPr>
          <w:rFonts w:hint="eastAsia" w:eastAsiaTheme="minorEastAsia" w:cstheme="minorEastAsia"/>
          <w:color w:val="auto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</w:rPr>
        <w:t>-</w:t>
      </w:r>
      <w:r>
        <w:rPr>
          <w:rFonts w:hint="eastAsia" w:eastAsiaTheme="minorEastAsia" w:cstheme="minorEastAsia"/>
          <w:color w:val="auto"/>
          <w:sz w:val="24"/>
          <w:szCs w:val="24"/>
          <w:lang w:val="en-US" w:eastAsia="zh-CN"/>
        </w:rPr>
        <w:t>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color w:val="auto"/>
          <w:sz w:val="32"/>
          <w:szCs w:val="32"/>
        </w:rPr>
      </w:pPr>
      <w:r>
        <w:rPr>
          <w:rFonts w:ascii="Times New Roman Regular" w:hAnsi="Times New Roman Regular" w:eastAsia="方正小标宋简体" w:cs="Times New Roman Regular"/>
          <w:color w:val="auto"/>
          <w:sz w:val="32"/>
          <w:szCs w:val="32"/>
          <w:lang w:bidi="ar"/>
        </w:rPr>
        <w:t>国家能源集团长源电力股份有限公司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方正小标宋简体" w:cs="Times New Roman Regular"/>
          <w:color w:val="auto"/>
          <w:sz w:val="32"/>
          <w:szCs w:val="32"/>
          <w:lang w:eastAsia="zh-CN" w:bidi="ar"/>
        </w:rPr>
        <w:t>关于公司董事辞职的公告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Ansi="宋体" w:eastAsia="宋体"/>
          <w:sz w:val="24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本公司及董事会全体成员保证信息披露的内容真实、准确、完整，没有虚假记载、误导性陈述或重大遗漏</w:t>
            </w:r>
            <w:r>
              <w:rPr>
                <w:rFonts w:hAnsi="宋体"/>
                <w:color w:val="auto"/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2" w:firstLineChars="200"/>
        <w:textAlignment w:val="auto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日，公司董事会收到</w:t>
      </w:r>
      <w:r>
        <w:rPr>
          <w:rFonts w:hint="eastAsia"/>
          <w:color w:val="auto"/>
          <w:sz w:val="24"/>
          <w:szCs w:val="24"/>
          <w:lang w:eastAsia="zh-CN"/>
        </w:rPr>
        <w:t>公司</w:t>
      </w:r>
      <w:r>
        <w:rPr>
          <w:rFonts w:hint="eastAsia"/>
          <w:color w:val="auto"/>
          <w:sz w:val="24"/>
          <w:szCs w:val="24"/>
          <w:lang w:val="en-US" w:eastAsia="zh-CN"/>
        </w:rPr>
        <w:t>董事王娟女士</w:t>
      </w:r>
      <w:r>
        <w:rPr>
          <w:rFonts w:hint="eastAsia"/>
          <w:color w:val="auto"/>
          <w:sz w:val="24"/>
          <w:szCs w:val="24"/>
        </w:rPr>
        <w:t>的书面辞职报告。</w:t>
      </w:r>
      <w:r>
        <w:rPr>
          <w:rFonts w:hint="eastAsia"/>
          <w:color w:val="auto"/>
          <w:sz w:val="24"/>
          <w:szCs w:val="24"/>
          <w:highlight w:val="none"/>
        </w:rPr>
        <w:t>因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正常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工作调整</w:t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王娟女士</w:t>
      </w:r>
      <w:r>
        <w:rPr>
          <w:rFonts w:hint="eastAsia"/>
          <w:color w:val="auto"/>
          <w:sz w:val="24"/>
          <w:szCs w:val="24"/>
          <w:lang w:eastAsia="zh-CN"/>
        </w:rPr>
        <w:t>申请</w:t>
      </w:r>
      <w:r>
        <w:rPr>
          <w:rFonts w:hint="eastAsia"/>
          <w:color w:val="auto"/>
          <w:sz w:val="24"/>
          <w:szCs w:val="24"/>
        </w:rPr>
        <w:t>辞去公司董事职务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辞职后将不在公司</w:t>
      </w:r>
      <w:r>
        <w:rPr>
          <w:rFonts w:hint="eastAsia"/>
          <w:color w:val="auto"/>
          <w:sz w:val="24"/>
          <w:szCs w:val="24"/>
          <w:lang w:val="en-US" w:eastAsia="zh-CN"/>
        </w:rPr>
        <w:t>及其控股子公司</w:t>
      </w:r>
      <w:r>
        <w:rPr>
          <w:rFonts w:hint="eastAsia"/>
          <w:sz w:val="24"/>
        </w:rPr>
        <w:t>任职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根据《公司法》及《公司章程》的有关规定，</w:t>
      </w:r>
      <w:r>
        <w:rPr>
          <w:rFonts w:hint="eastAsia"/>
          <w:color w:val="auto"/>
          <w:sz w:val="24"/>
          <w:szCs w:val="24"/>
          <w:lang w:val="en-US" w:eastAsia="zh-CN"/>
        </w:rPr>
        <w:t>王娟女士</w:t>
      </w:r>
      <w:r>
        <w:rPr>
          <w:rFonts w:hint="eastAsia"/>
          <w:color w:val="auto"/>
          <w:sz w:val="24"/>
          <w:szCs w:val="24"/>
        </w:rPr>
        <w:t>辞去公司董事职务不会导致公司董事会人数低于法定最低人数，不会影响公司董事会的正常运行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其辞职报告在到达董事会后即时生效。</w:t>
      </w:r>
      <w:r>
        <w:rPr>
          <w:rFonts w:hint="eastAsia"/>
          <w:color w:val="auto"/>
          <w:sz w:val="24"/>
          <w:szCs w:val="24"/>
          <w:lang w:val="en-US" w:eastAsia="zh-CN"/>
        </w:rPr>
        <w:t>王娟女士</w:t>
      </w:r>
      <w:r>
        <w:rPr>
          <w:rFonts w:hint="eastAsia"/>
          <w:color w:val="auto"/>
          <w:sz w:val="24"/>
          <w:szCs w:val="24"/>
        </w:rPr>
        <w:t>及其配偶或关联人在其任期内未持有公司股票</w:t>
      </w:r>
      <w:r>
        <w:rPr>
          <w:rFonts w:hint="eastAsia"/>
          <w:color w:val="auto"/>
          <w:sz w:val="24"/>
          <w:szCs w:val="24"/>
          <w:lang w:eastAsia="zh-CN"/>
        </w:rPr>
        <w:t>。</w:t>
      </w:r>
      <w:r>
        <w:rPr>
          <w:rFonts w:hint="eastAsia"/>
          <w:color w:val="auto"/>
          <w:sz w:val="24"/>
          <w:szCs w:val="24"/>
        </w:rPr>
        <w:t>公司将按照法定程序，尽快选举新的董事，以符合法律、法规和《公司章程》的有关规定。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王娟女士在担任公司董事期间，恪尽职守、勤勉尽责，在公司董事会建设、改革发展、公司治理、规范运作等方面作出了积极贡献，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eastAsia="zh-CN"/>
        </w:rPr>
        <w:t>公司董事会谨对其履职期间的辛勤付出，表示衷心感谢！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2" w:firstLineChars="200"/>
        <w:textAlignment w:val="auto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二、报备文件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王娟女士</w:t>
      </w:r>
      <w:r>
        <w:rPr>
          <w:rFonts w:hint="eastAsia"/>
          <w:color w:val="auto"/>
          <w:sz w:val="24"/>
          <w:szCs w:val="24"/>
        </w:rPr>
        <w:t>《辞职报告》。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特此公告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35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国家能源集团</w:t>
      </w:r>
      <w:r>
        <w:rPr>
          <w:rFonts w:hint="eastAsia"/>
          <w:color w:val="auto"/>
          <w:sz w:val="24"/>
          <w:szCs w:val="24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380" w:lineRule="exact"/>
        <w:ind w:right="840" w:firstLine="435"/>
        <w:jc w:val="center"/>
        <w:textAlignment w:val="auto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</w:t>
      </w:r>
      <w:r>
        <w:rPr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AF"/>
    <w:rsid w:val="00011011"/>
    <w:rsid w:val="00046CA5"/>
    <w:rsid w:val="000B57AE"/>
    <w:rsid w:val="000C2302"/>
    <w:rsid w:val="0011046A"/>
    <w:rsid w:val="001356A6"/>
    <w:rsid w:val="00233589"/>
    <w:rsid w:val="00553FA0"/>
    <w:rsid w:val="00613FC8"/>
    <w:rsid w:val="008E5461"/>
    <w:rsid w:val="009719EE"/>
    <w:rsid w:val="00AF7F18"/>
    <w:rsid w:val="00B80ED7"/>
    <w:rsid w:val="00C21AAF"/>
    <w:rsid w:val="00C769A7"/>
    <w:rsid w:val="00D4000D"/>
    <w:rsid w:val="00FF2E07"/>
    <w:rsid w:val="019E37F9"/>
    <w:rsid w:val="03C107D0"/>
    <w:rsid w:val="08CF38EF"/>
    <w:rsid w:val="0C4C191B"/>
    <w:rsid w:val="0FB8359D"/>
    <w:rsid w:val="115C71BA"/>
    <w:rsid w:val="212A7257"/>
    <w:rsid w:val="221B0B03"/>
    <w:rsid w:val="29746324"/>
    <w:rsid w:val="31667D68"/>
    <w:rsid w:val="3EED5860"/>
    <w:rsid w:val="48304B0D"/>
    <w:rsid w:val="48E37876"/>
    <w:rsid w:val="50D166D3"/>
    <w:rsid w:val="542D2F10"/>
    <w:rsid w:val="54790903"/>
    <w:rsid w:val="55483AB8"/>
    <w:rsid w:val="5FBC256F"/>
    <w:rsid w:val="64E41BD5"/>
    <w:rsid w:val="67DF4D46"/>
    <w:rsid w:val="6A0033C4"/>
    <w:rsid w:val="6C766C27"/>
    <w:rsid w:val="6D814519"/>
    <w:rsid w:val="6EEE345A"/>
    <w:rsid w:val="6F7A1AB3"/>
    <w:rsid w:val="727A27BC"/>
    <w:rsid w:val="730833A3"/>
    <w:rsid w:val="74886C29"/>
    <w:rsid w:val="7940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11</TotalTime>
  <ScaleCrop>false</ScaleCrop>
  <LinksUpToDate>false</LinksUpToDate>
  <CharactersWithSpaces>477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2017-06-12T23:17:00Z</dcterms:created>
  <dc:creator>汪卉/证券融资法律部/国电长源电力股份有限公司</dc:creator>
  <cp:lastModifiedBy>刘硕02</cp:lastModifiedBy>
  <dcterms:modified xsi:type="dcterms:W3CDTF">2026-06-11T07:51:51Z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2F121C295260494BB33781328FCE7B88</vt:lpwstr>
  </property>
</Properties>
</file>