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40" w:lineRule="exact"/>
        <w:ind w:right="-58"/>
        <w:jc w:val="left"/>
        <w:rPr>
          <w:bCs/>
          <w:spacing w:val="1"/>
          <w:kern w:val="0"/>
          <w:sz w:val="24"/>
          <w:szCs w:val="24"/>
        </w:rPr>
      </w:pPr>
      <w:r>
        <w:rPr>
          <w:bCs/>
          <w:spacing w:val="1"/>
          <w:kern w:val="0"/>
          <w:sz w:val="24"/>
          <w:szCs w:val="24"/>
        </w:rPr>
        <w:t>证券代码：000966         证券简称：长源电力        公告编号：202</w:t>
      </w:r>
      <w:r>
        <w:rPr>
          <w:rFonts w:hint="eastAsia"/>
          <w:bCs/>
          <w:spacing w:val="1"/>
          <w:kern w:val="0"/>
          <w:sz w:val="24"/>
          <w:szCs w:val="24"/>
        </w:rPr>
        <w:t>6</w:t>
      </w:r>
      <w:r>
        <w:rPr>
          <w:bCs/>
          <w:spacing w:val="1"/>
          <w:kern w:val="0"/>
          <w:sz w:val="24"/>
          <w:szCs w:val="24"/>
        </w:rPr>
        <w:t>-0</w:t>
      </w:r>
      <w:r>
        <w:rPr>
          <w:rFonts w:hint="eastAsia"/>
          <w:bCs/>
          <w:spacing w:val="1"/>
          <w:kern w:val="0"/>
          <w:sz w:val="24"/>
          <w:szCs w:val="24"/>
        </w:rPr>
        <w:t>35</w:t>
      </w:r>
    </w:p>
    <w:p>
      <w:pPr>
        <w:autoSpaceDE w:val="0"/>
        <w:autoSpaceDN w:val="0"/>
        <w:adjustRightInd w:val="0"/>
        <w:snapToGrid w:val="0"/>
        <w:spacing w:line="440" w:lineRule="exact"/>
        <w:ind w:right="-58"/>
        <w:jc w:val="center"/>
        <w:rPr>
          <w:b/>
          <w:spacing w:val="1"/>
          <w:kern w:val="0"/>
          <w:sz w:val="32"/>
          <w:szCs w:val="32"/>
        </w:rPr>
      </w:pPr>
    </w:p>
    <w:p>
      <w:pPr>
        <w:adjustRightInd w:val="0"/>
        <w:snapToGrid w:val="0"/>
        <w:spacing w:line="440" w:lineRule="exact"/>
        <w:jc w:val="center"/>
        <w:rPr>
          <w:rFonts w:eastAsia="方正小标宋简体"/>
          <w:sz w:val="32"/>
          <w:szCs w:val="32"/>
        </w:rPr>
      </w:pPr>
      <w:r>
        <w:rPr>
          <w:rFonts w:eastAsia="方正小标宋简体"/>
          <w:sz w:val="32"/>
          <w:szCs w:val="32"/>
        </w:rPr>
        <w:t>国家能源集团长源电力股份有限公司</w:t>
      </w:r>
    </w:p>
    <w:p>
      <w:pPr>
        <w:adjustRightInd w:val="0"/>
        <w:snapToGrid w:val="0"/>
        <w:spacing w:line="440" w:lineRule="exact"/>
        <w:jc w:val="center"/>
        <w:rPr>
          <w:rFonts w:eastAsia="方正小标宋简体"/>
          <w:sz w:val="32"/>
          <w:szCs w:val="32"/>
        </w:rPr>
      </w:pPr>
      <w:r>
        <w:rPr>
          <w:rFonts w:eastAsia="方正小标宋简体"/>
          <w:sz w:val="32"/>
          <w:szCs w:val="32"/>
        </w:rPr>
        <w:t>关于向特定对象发行股票部分限售股份解除限售上市流通</w:t>
      </w:r>
    </w:p>
    <w:p>
      <w:pPr>
        <w:adjustRightInd w:val="0"/>
        <w:snapToGrid w:val="0"/>
        <w:spacing w:line="440" w:lineRule="exact"/>
        <w:jc w:val="center"/>
        <w:rPr>
          <w:rFonts w:eastAsia="方正小标宋简体"/>
          <w:sz w:val="32"/>
          <w:szCs w:val="32"/>
        </w:rPr>
      </w:pPr>
      <w:r>
        <w:rPr>
          <w:rFonts w:eastAsia="方正小标宋简体"/>
          <w:sz w:val="32"/>
          <w:szCs w:val="32"/>
        </w:rPr>
        <w:t>的提示性公告</w:t>
      </w:r>
    </w:p>
    <w:p>
      <w:pPr>
        <w:autoSpaceDE w:val="0"/>
        <w:autoSpaceDN w:val="0"/>
        <w:adjustRightInd w:val="0"/>
        <w:snapToGrid w:val="0"/>
        <w:spacing w:line="440" w:lineRule="exact"/>
        <w:ind w:right="-58"/>
        <w:jc w:val="center"/>
        <w:rPr>
          <w:b/>
          <w:spacing w:val="1"/>
          <w:kern w:val="0"/>
          <w:sz w:val="32"/>
          <w:szCs w:val="32"/>
        </w:rPr>
      </w:pPr>
    </w:p>
    <w:p>
      <w:pPr>
        <w:pBdr>
          <w:top w:val="single" w:color="auto" w:sz="4" w:space="1"/>
          <w:left w:val="single" w:color="auto" w:sz="4" w:space="4"/>
          <w:bottom w:val="single" w:color="auto" w:sz="4" w:space="1"/>
          <w:right w:val="single" w:color="auto" w:sz="4" w:space="4"/>
          <w:between w:val="single" w:color="auto" w:sz="4" w:space="1"/>
        </w:pBdr>
        <w:autoSpaceDE w:val="0"/>
        <w:autoSpaceDN w:val="0"/>
        <w:adjustRightInd w:val="0"/>
        <w:snapToGrid w:val="0"/>
        <w:spacing w:line="400" w:lineRule="exact"/>
        <w:ind w:right="-57" w:firstLine="480" w:firstLineChars="200"/>
        <w:rPr>
          <w:kern w:val="0"/>
          <w:sz w:val="24"/>
          <w:szCs w:val="24"/>
        </w:rPr>
      </w:pPr>
      <w:r>
        <w:rPr>
          <w:kern w:val="0"/>
          <w:sz w:val="24"/>
          <w:szCs w:val="24"/>
        </w:rPr>
        <w:t>本公司及董事会全体成员保证信息披露的内容真实、准确、完整，没有虚假记载、误导性陈述或重大遗漏。</w:t>
      </w:r>
    </w:p>
    <w:p>
      <w:pPr>
        <w:spacing w:line="380" w:lineRule="exact"/>
        <w:rPr>
          <w:b/>
          <w:bCs/>
          <w:kern w:val="0"/>
          <w:sz w:val="24"/>
        </w:rPr>
      </w:pPr>
    </w:p>
    <w:p>
      <w:pPr>
        <w:spacing w:line="380" w:lineRule="exact"/>
        <w:ind w:firstLine="482" w:firstLineChars="200"/>
        <w:rPr>
          <w:b/>
          <w:bCs/>
          <w:kern w:val="0"/>
          <w:sz w:val="24"/>
        </w:rPr>
      </w:pPr>
      <w:r>
        <w:rPr>
          <w:b/>
          <w:bCs/>
          <w:kern w:val="0"/>
          <w:sz w:val="24"/>
        </w:rPr>
        <w:t>特别提示：</w:t>
      </w:r>
    </w:p>
    <w:p>
      <w:pPr>
        <w:pStyle w:val="17"/>
        <w:spacing w:line="380" w:lineRule="exact"/>
        <w:ind w:firstLine="480"/>
        <w:rPr>
          <w:sz w:val="24"/>
        </w:rPr>
      </w:pPr>
      <w:r>
        <w:rPr>
          <w:sz w:val="24"/>
        </w:rPr>
        <w:t>1</w:t>
      </w:r>
      <w:r>
        <w:rPr>
          <w:rFonts w:hint="eastAsia"/>
          <w:sz w:val="24"/>
        </w:rPr>
        <w:t xml:space="preserve">. </w:t>
      </w:r>
      <w:r>
        <w:rPr>
          <w:sz w:val="24"/>
        </w:rPr>
        <w:t>本次解除</w:t>
      </w:r>
      <w:r>
        <w:rPr>
          <w:rFonts w:hint="eastAsia"/>
          <w:sz w:val="24"/>
        </w:rPr>
        <w:t>股份</w:t>
      </w:r>
      <w:r>
        <w:rPr>
          <w:sz w:val="24"/>
        </w:rPr>
        <w:t>限售</w:t>
      </w:r>
      <w:r>
        <w:rPr>
          <w:rFonts w:hint="eastAsia"/>
          <w:sz w:val="24"/>
        </w:rPr>
        <w:t>的股东</w:t>
      </w:r>
      <w:r>
        <w:rPr>
          <w:sz w:val="24"/>
        </w:rPr>
        <w:t>为公司</w:t>
      </w:r>
      <w:r>
        <w:rPr>
          <w:rFonts w:hint="eastAsia"/>
          <w:sz w:val="24"/>
        </w:rPr>
        <w:t>控股股东</w:t>
      </w:r>
      <w:r>
        <w:rPr>
          <w:rFonts w:hint="eastAsia"/>
          <w:color w:val="000000"/>
          <w:sz w:val="24"/>
          <w:szCs w:val="24"/>
        </w:rPr>
        <w:t>国家能源投资集团有限责任公司（以下简称国家能源集团）</w:t>
      </w:r>
      <w:r>
        <w:rPr>
          <w:sz w:val="24"/>
        </w:rPr>
        <w:t>，解除限售股份数量为219,512,196股，占公司总股本3,481,035,016股的</w:t>
      </w:r>
      <w:bookmarkStart w:id="4" w:name="_GoBack"/>
      <w:r>
        <w:rPr>
          <w:sz w:val="24"/>
        </w:rPr>
        <w:t>6.3</w:t>
      </w:r>
      <w:r>
        <w:rPr>
          <w:rFonts w:hint="eastAsia"/>
          <w:sz w:val="24"/>
          <w:lang w:val="en-US" w:eastAsia="zh-CN"/>
        </w:rPr>
        <w:t>059</w:t>
      </w:r>
      <w:r>
        <w:rPr>
          <w:sz w:val="24"/>
        </w:rPr>
        <w:t>%</w:t>
      </w:r>
      <w:bookmarkEnd w:id="4"/>
      <w:r>
        <w:rPr>
          <w:rFonts w:hint="eastAsia"/>
          <w:color w:val="000000"/>
          <w:sz w:val="24"/>
          <w:szCs w:val="24"/>
        </w:rPr>
        <w:t>，</w:t>
      </w:r>
      <w:r>
        <w:rPr>
          <w:rFonts w:hint="eastAsia"/>
          <w:sz w:val="24"/>
        </w:rPr>
        <w:t>占本次解除限售前</w:t>
      </w:r>
      <w:r>
        <w:rPr>
          <w:rFonts w:hint="eastAsia"/>
          <w:color w:val="000000"/>
          <w:sz w:val="24"/>
          <w:szCs w:val="24"/>
        </w:rPr>
        <w:t>公司无限售条件股份的6.73</w:t>
      </w:r>
      <w:r>
        <w:rPr>
          <w:rFonts w:hint="eastAsia"/>
          <w:color w:val="000000"/>
          <w:sz w:val="24"/>
          <w:szCs w:val="24"/>
          <w:lang w:val="en-US" w:eastAsia="zh-CN"/>
        </w:rPr>
        <w:t>04</w:t>
      </w:r>
      <w:r>
        <w:rPr>
          <w:rFonts w:hint="eastAsia"/>
          <w:color w:val="000000"/>
          <w:sz w:val="24"/>
          <w:szCs w:val="24"/>
        </w:rPr>
        <w:t>%，占本次</w:t>
      </w:r>
      <w:r>
        <w:rPr>
          <w:rFonts w:hint="eastAsia"/>
          <w:sz w:val="24"/>
        </w:rPr>
        <w:t>解除限售</w:t>
      </w:r>
      <w:r>
        <w:rPr>
          <w:rFonts w:hint="eastAsia"/>
          <w:color w:val="000000"/>
          <w:sz w:val="24"/>
          <w:szCs w:val="24"/>
        </w:rPr>
        <w:t>后公司无限售条件股份的</w:t>
      </w:r>
      <w:r>
        <w:rPr>
          <w:sz w:val="24"/>
        </w:rPr>
        <w:t>6.3</w:t>
      </w:r>
      <w:r>
        <w:rPr>
          <w:rFonts w:hint="eastAsia"/>
          <w:sz w:val="24"/>
          <w:lang w:val="en-US" w:eastAsia="zh-CN"/>
        </w:rPr>
        <w:t>059</w:t>
      </w:r>
      <w:r>
        <w:rPr>
          <w:rFonts w:hint="eastAsia"/>
          <w:color w:val="000000"/>
          <w:sz w:val="24"/>
          <w:szCs w:val="24"/>
        </w:rPr>
        <w:t>%。</w:t>
      </w:r>
    </w:p>
    <w:p>
      <w:pPr>
        <w:pStyle w:val="17"/>
        <w:spacing w:line="380" w:lineRule="exact"/>
        <w:ind w:firstLine="480"/>
      </w:pPr>
      <w:r>
        <w:rPr>
          <w:sz w:val="24"/>
        </w:rPr>
        <w:t>2</w:t>
      </w:r>
      <w:r>
        <w:rPr>
          <w:rFonts w:hint="eastAsia"/>
          <w:sz w:val="24"/>
        </w:rPr>
        <w:t xml:space="preserve">. </w:t>
      </w:r>
      <w:r>
        <w:rPr>
          <w:sz w:val="24"/>
        </w:rPr>
        <w:t>本次解除限售股份的上市流通日期：202</w:t>
      </w:r>
      <w:r>
        <w:rPr>
          <w:rFonts w:hint="eastAsia"/>
          <w:sz w:val="24"/>
        </w:rPr>
        <w:t>6</w:t>
      </w:r>
      <w:r>
        <w:rPr>
          <w:sz w:val="24"/>
        </w:rPr>
        <w:t>年6月3日。</w:t>
      </w:r>
    </w:p>
    <w:p>
      <w:pPr>
        <w:spacing w:line="380" w:lineRule="exact"/>
        <w:ind w:firstLine="482" w:firstLineChars="200"/>
        <w:rPr>
          <w:b/>
          <w:sz w:val="24"/>
          <w:szCs w:val="24"/>
        </w:rPr>
      </w:pPr>
      <w:bookmarkStart w:id="0" w:name="_Hlk198203753"/>
    </w:p>
    <w:p>
      <w:pPr>
        <w:spacing w:line="380" w:lineRule="exact"/>
        <w:ind w:firstLine="482" w:firstLineChars="200"/>
        <w:rPr>
          <w:b/>
          <w:sz w:val="24"/>
          <w:szCs w:val="24"/>
        </w:rPr>
      </w:pPr>
      <w:r>
        <w:rPr>
          <w:b/>
          <w:sz w:val="24"/>
          <w:szCs w:val="24"/>
        </w:rPr>
        <w:t>一、向特定对象发行股票情况</w:t>
      </w:r>
    </w:p>
    <w:p>
      <w:pPr>
        <w:spacing w:line="380" w:lineRule="exact"/>
        <w:ind w:firstLine="480" w:firstLineChars="200"/>
        <w:rPr>
          <w:color w:val="000000"/>
          <w:sz w:val="24"/>
          <w:szCs w:val="24"/>
        </w:rPr>
      </w:pPr>
      <w:r>
        <w:rPr>
          <w:color w:val="000000"/>
          <w:sz w:val="24"/>
          <w:szCs w:val="24"/>
        </w:rPr>
        <w:t>经中国证监会出具的《关于同意国家能源集团长源电力股份有限公司向特定对象发行股票注册的批复》（证监许可〔2024〕1021号）同意注册，国家能源集团长源电力股份有限公司（以下简称公司或长源电力）向特定对象发行人民币普通股（A股）共计731,707,317股，发行价格为4.10元/股，募集资金总额为2,999,999,999.70元。</w:t>
      </w:r>
    </w:p>
    <w:p>
      <w:pPr>
        <w:spacing w:line="380" w:lineRule="exact"/>
        <w:ind w:firstLine="480" w:firstLineChars="200"/>
        <w:rPr>
          <w:color w:val="000000"/>
          <w:sz w:val="24"/>
          <w:szCs w:val="24"/>
        </w:rPr>
      </w:pPr>
      <w:r>
        <w:rPr>
          <w:color w:val="000000"/>
          <w:sz w:val="24"/>
          <w:szCs w:val="24"/>
        </w:rPr>
        <w:t>本次向特定对象发行股票新增731,707,317股于2024年12月3日上市，其中，公司控股股东国家能源集团认购的股份自发行结束并上市之日起18个月内不得转让，其他发行对象认购的股份自发行结束并上市之日起6个月内不得转让。本次发行后，公司总股本增加至3,481,035,016股。本次向特定对象发行股票具体发行情况如下：</w:t>
      </w:r>
    </w:p>
    <w:tbl>
      <w:tblPr>
        <w:tblStyle w:val="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37"/>
        <w:gridCol w:w="3935"/>
        <w:gridCol w:w="1447"/>
        <w:gridCol w:w="1731"/>
        <w:gridCol w:w="972"/>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250" w:type="pct"/>
            <w:tcBorders>
              <w:top w:val="single" w:color="010000" w:sz="12" w:space="0"/>
              <w:bottom w:val="single" w:color="010000" w:sz="4" w:space="0"/>
            </w:tcBorders>
            <w:vAlign w:val="center"/>
          </w:tcPr>
          <w:p>
            <w:pPr>
              <w:keepNext/>
              <w:jc w:val="center"/>
              <w:rPr>
                <w:b/>
                <w:color w:val="000000"/>
              </w:rPr>
            </w:pPr>
            <w:bookmarkStart w:id="1" w:name="_Hlk198735697"/>
            <w:r>
              <w:rPr>
                <w:b/>
                <w:color w:val="000000"/>
              </w:rPr>
              <w:t>序号</w:t>
            </w:r>
          </w:p>
        </w:tc>
        <w:tc>
          <w:tcPr>
            <w:tcW w:w="2248" w:type="pct"/>
            <w:tcBorders>
              <w:top w:val="single" w:color="010000" w:sz="12" w:space="0"/>
              <w:bottom w:val="single" w:color="010000" w:sz="4" w:space="0"/>
            </w:tcBorders>
            <w:vAlign w:val="center"/>
          </w:tcPr>
          <w:p>
            <w:pPr>
              <w:keepNext/>
              <w:jc w:val="center"/>
              <w:rPr>
                <w:b/>
                <w:color w:val="000000"/>
              </w:rPr>
            </w:pPr>
            <w:r>
              <w:rPr>
                <w:b/>
                <w:color w:val="000000"/>
              </w:rPr>
              <w:t>发行对象</w:t>
            </w:r>
          </w:p>
        </w:tc>
        <w:tc>
          <w:tcPr>
            <w:tcW w:w="827" w:type="pct"/>
            <w:tcBorders>
              <w:top w:val="single" w:color="010000" w:sz="12" w:space="0"/>
              <w:bottom w:val="single" w:color="010000" w:sz="4" w:space="0"/>
            </w:tcBorders>
            <w:vAlign w:val="center"/>
          </w:tcPr>
          <w:p>
            <w:pPr>
              <w:keepNext/>
              <w:jc w:val="center"/>
              <w:rPr>
                <w:b/>
                <w:color w:val="000000"/>
              </w:rPr>
            </w:pPr>
            <w:r>
              <w:rPr>
                <w:b/>
                <w:color w:val="000000"/>
              </w:rPr>
              <w:t>获配股数（股）</w:t>
            </w:r>
          </w:p>
        </w:tc>
        <w:tc>
          <w:tcPr>
            <w:tcW w:w="989" w:type="pct"/>
            <w:tcBorders>
              <w:top w:val="single" w:color="010000" w:sz="12" w:space="0"/>
              <w:bottom w:val="single" w:color="010000" w:sz="4" w:space="0"/>
            </w:tcBorders>
            <w:vAlign w:val="center"/>
          </w:tcPr>
          <w:p>
            <w:pPr>
              <w:keepNext/>
              <w:jc w:val="center"/>
              <w:rPr>
                <w:b/>
                <w:color w:val="000000"/>
              </w:rPr>
            </w:pPr>
            <w:r>
              <w:rPr>
                <w:b/>
                <w:color w:val="000000"/>
              </w:rPr>
              <w:t>获配金额（元）</w:t>
            </w:r>
          </w:p>
        </w:tc>
        <w:tc>
          <w:tcPr>
            <w:tcW w:w="555" w:type="pct"/>
            <w:tcBorders>
              <w:top w:val="single" w:color="010000" w:sz="12" w:space="0"/>
              <w:bottom w:val="single" w:color="010000" w:sz="4" w:space="0"/>
            </w:tcBorders>
            <w:vAlign w:val="center"/>
          </w:tcPr>
          <w:p>
            <w:pPr>
              <w:keepNext/>
              <w:jc w:val="center"/>
              <w:rPr>
                <w:b/>
                <w:color w:val="000000"/>
              </w:rPr>
            </w:pPr>
            <w:r>
              <w:rPr>
                <w:b/>
                <w:color w:val="000000"/>
              </w:rPr>
              <w:t>锁定期（月）</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tcBorders>
              <w:top w:val="single" w:color="010000" w:sz="4" w:space="0"/>
            </w:tcBorders>
            <w:vAlign w:val="center"/>
          </w:tcPr>
          <w:p>
            <w:pPr>
              <w:jc w:val="right"/>
              <w:rPr>
                <w:color w:val="000000"/>
              </w:rPr>
            </w:pPr>
            <w:r>
              <w:rPr>
                <w:color w:val="000000"/>
              </w:rPr>
              <w:t>1</w:t>
            </w:r>
          </w:p>
        </w:tc>
        <w:tc>
          <w:tcPr>
            <w:tcW w:w="2248" w:type="pct"/>
            <w:tcBorders>
              <w:top w:val="single" w:color="010000" w:sz="4" w:space="0"/>
            </w:tcBorders>
            <w:vAlign w:val="center"/>
          </w:tcPr>
          <w:p>
            <w:pPr>
              <w:jc w:val="left"/>
              <w:rPr>
                <w:color w:val="000000"/>
              </w:rPr>
            </w:pPr>
            <w:r>
              <w:rPr>
                <w:color w:val="000000"/>
              </w:rPr>
              <w:t>国家能源投资集团有限责任公司</w:t>
            </w:r>
          </w:p>
        </w:tc>
        <w:tc>
          <w:tcPr>
            <w:tcW w:w="827" w:type="pct"/>
            <w:tcBorders>
              <w:top w:val="single" w:color="010000" w:sz="4" w:space="0"/>
            </w:tcBorders>
            <w:noWrap/>
            <w:vAlign w:val="center"/>
          </w:tcPr>
          <w:p>
            <w:pPr>
              <w:jc w:val="right"/>
              <w:rPr>
                <w:color w:val="000000"/>
              </w:rPr>
            </w:pPr>
            <w:r>
              <w:rPr>
                <w:color w:val="000000"/>
              </w:rPr>
              <w:t>219,512,196</w:t>
            </w:r>
          </w:p>
        </w:tc>
        <w:tc>
          <w:tcPr>
            <w:tcW w:w="989" w:type="pct"/>
            <w:tcBorders>
              <w:top w:val="single" w:color="010000" w:sz="4" w:space="0"/>
            </w:tcBorders>
            <w:noWrap/>
            <w:vAlign w:val="center"/>
          </w:tcPr>
          <w:p>
            <w:pPr>
              <w:jc w:val="right"/>
              <w:rPr>
                <w:color w:val="000000"/>
              </w:rPr>
            </w:pPr>
            <w:r>
              <w:rPr>
                <w:color w:val="000000"/>
              </w:rPr>
              <w:t>900,000,003.60</w:t>
            </w:r>
          </w:p>
        </w:tc>
        <w:tc>
          <w:tcPr>
            <w:tcW w:w="555" w:type="pct"/>
            <w:tcBorders>
              <w:top w:val="single" w:color="010000" w:sz="4" w:space="0"/>
            </w:tcBorders>
            <w:vAlign w:val="center"/>
          </w:tcPr>
          <w:p>
            <w:pPr>
              <w:jc w:val="right"/>
              <w:rPr>
                <w:color w:val="000000"/>
              </w:rPr>
            </w:pPr>
            <w:r>
              <w:rPr>
                <w:color w:val="000000"/>
              </w:rPr>
              <w:t>18</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2</w:t>
            </w:r>
          </w:p>
        </w:tc>
        <w:tc>
          <w:tcPr>
            <w:tcW w:w="2248" w:type="pct"/>
            <w:vAlign w:val="center"/>
          </w:tcPr>
          <w:p>
            <w:pPr>
              <w:rPr>
                <w:color w:val="000000"/>
              </w:rPr>
            </w:pPr>
            <w:r>
              <w:rPr>
                <w:color w:val="000000"/>
                <w:szCs w:val="21"/>
              </w:rPr>
              <w:t>中国能源建设集团有限公司</w:t>
            </w:r>
          </w:p>
        </w:tc>
        <w:tc>
          <w:tcPr>
            <w:tcW w:w="827" w:type="pct"/>
            <w:noWrap/>
            <w:vAlign w:val="center"/>
          </w:tcPr>
          <w:p>
            <w:pPr>
              <w:jc w:val="right"/>
              <w:rPr>
                <w:color w:val="000000"/>
              </w:rPr>
            </w:pPr>
            <w:r>
              <w:rPr>
                <w:color w:val="000000"/>
                <w:szCs w:val="21"/>
              </w:rPr>
              <w:t>121,951,219</w:t>
            </w:r>
          </w:p>
        </w:tc>
        <w:tc>
          <w:tcPr>
            <w:tcW w:w="989" w:type="pct"/>
            <w:noWrap/>
            <w:vAlign w:val="center"/>
          </w:tcPr>
          <w:p>
            <w:pPr>
              <w:jc w:val="right"/>
              <w:rPr>
                <w:color w:val="000000"/>
              </w:rPr>
            </w:pPr>
            <w:r>
              <w:rPr>
                <w:color w:val="000000"/>
                <w:szCs w:val="21"/>
              </w:rPr>
              <w:t>499,999,997.90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3</w:t>
            </w:r>
          </w:p>
        </w:tc>
        <w:tc>
          <w:tcPr>
            <w:tcW w:w="2248" w:type="pct"/>
            <w:vAlign w:val="center"/>
          </w:tcPr>
          <w:p>
            <w:pPr>
              <w:rPr>
                <w:color w:val="000000"/>
              </w:rPr>
            </w:pPr>
            <w:r>
              <w:rPr>
                <w:color w:val="000000"/>
                <w:szCs w:val="21"/>
              </w:rPr>
              <w:t>湖北省铁路发展基金有限责任公司</w:t>
            </w:r>
          </w:p>
        </w:tc>
        <w:tc>
          <w:tcPr>
            <w:tcW w:w="827" w:type="pct"/>
            <w:noWrap/>
            <w:vAlign w:val="center"/>
          </w:tcPr>
          <w:p>
            <w:pPr>
              <w:jc w:val="right"/>
              <w:rPr>
                <w:color w:val="000000"/>
              </w:rPr>
            </w:pPr>
            <w:r>
              <w:rPr>
                <w:color w:val="000000"/>
                <w:szCs w:val="21"/>
              </w:rPr>
              <w:t>73,170,731</w:t>
            </w:r>
          </w:p>
        </w:tc>
        <w:tc>
          <w:tcPr>
            <w:tcW w:w="989" w:type="pct"/>
            <w:noWrap/>
            <w:vAlign w:val="center"/>
          </w:tcPr>
          <w:p>
            <w:pPr>
              <w:jc w:val="right"/>
              <w:rPr>
                <w:color w:val="000000"/>
              </w:rPr>
            </w:pPr>
            <w:r>
              <w:rPr>
                <w:color w:val="000000"/>
                <w:szCs w:val="21"/>
              </w:rPr>
              <w:t>299,999,997.10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4</w:t>
            </w:r>
          </w:p>
        </w:tc>
        <w:tc>
          <w:tcPr>
            <w:tcW w:w="2248" w:type="pct"/>
            <w:vAlign w:val="center"/>
          </w:tcPr>
          <w:p>
            <w:pPr>
              <w:rPr>
                <w:color w:val="000000"/>
              </w:rPr>
            </w:pPr>
            <w:r>
              <w:rPr>
                <w:color w:val="000000"/>
                <w:szCs w:val="21"/>
              </w:rPr>
              <w:t>诺德基金管理有限公司</w:t>
            </w:r>
          </w:p>
        </w:tc>
        <w:tc>
          <w:tcPr>
            <w:tcW w:w="827" w:type="pct"/>
            <w:noWrap/>
            <w:vAlign w:val="center"/>
          </w:tcPr>
          <w:p>
            <w:pPr>
              <w:jc w:val="right"/>
              <w:rPr>
                <w:color w:val="000000"/>
              </w:rPr>
            </w:pPr>
            <w:r>
              <w:rPr>
                <w:color w:val="000000"/>
                <w:szCs w:val="21"/>
              </w:rPr>
              <w:t>56,756,097</w:t>
            </w:r>
          </w:p>
        </w:tc>
        <w:tc>
          <w:tcPr>
            <w:tcW w:w="989" w:type="pct"/>
            <w:noWrap/>
            <w:vAlign w:val="center"/>
          </w:tcPr>
          <w:p>
            <w:pPr>
              <w:jc w:val="right"/>
              <w:rPr>
                <w:color w:val="000000"/>
              </w:rPr>
            </w:pPr>
            <w:r>
              <w:rPr>
                <w:color w:val="000000"/>
                <w:szCs w:val="21"/>
              </w:rPr>
              <w:t>232,699,997.70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5</w:t>
            </w:r>
          </w:p>
        </w:tc>
        <w:tc>
          <w:tcPr>
            <w:tcW w:w="2248" w:type="pct"/>
            <w:vAlign w:val="center"/>
          </w:tcPr>
          <w:p>
            <w:pPr>
              <w:rPr>
                <w:color w:val="000000"/>
              </w:rPr>
            </w:pPr>
            <w:r>
              <w:rPr>
                <w:color w:val="000000"/>
                <w:szCs w:val="21"/>
              </w:rPr>
              <w:t>易米基金管理有限公司</w:t>
            </w:r>
          </w:p>
        </w:tc>
        <w:tc>
          <w:tcPr>
            <w:tcW w:w="827" w:type="pct"/>
            <w:noWrap/>
            <w:vAlign w:val="center"/>
          </w:tcPr>
          <w:p>
            <w:pPr>
              <w:jc w:val="right"/>
              <w:rPr>
                <w:color w:val="000000"/>
              </w:rPr>
            </w:pPr>
            <w:r>
              <w:rPr>
                <w:color w:val="000000"/>
                <w:szCs w:val="21"/>
              </w:rPr>
              <w:t>48,780,487</w:t>
            </w:r>
          </w:p>
        </w:tc>
        <w:tc>
          <w:tcPr>
            <w:tcW w:w="989" w:type="pct"/>
            <w:noWrap/>
            <w:vAlign w:val="center"/>
          </w:tcPr>
          <w:p>
            <w:pPr>
              <w:jc w:val="right"/>
              <w:rPr>
                <w:color w:val="000000"/>
              </w:rPr>
            </w:pPr>
            <w:r>
              <w:rPr>
                <w:color w:val="000000"/>
                <w:szCs w:val="21"/>
              </w:rPr>
              <w:t>199,999,996.70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6</w:t>
            </w:r>
          </w:p>
        </w:tc>
        <w:tc>
          <w:tcPr>
            <w:tcW w:w="2248" w:type="pct"/>
            <w:vAlign w:val="center"/>
          </w:tcPr>
          <w:p>
            <w:pPr>
              <w:rPr>
                <w:color w:val="000000"/>
              </w:rPr>
            </w:pPr>
            <w:r>
              <w:rPr>
                <w:color w:val="000000"/>
                <w:szCs w:val="21"/>
              </w:rPr>
              <w:t>国家绿色发展基金股份有限公司</w:t>
            </w:r>
          </w:p>
        </w:tc>
        <w:tc>
          <w:tcPr>
            <w:tcW w:w="827" w:type="pct"/>
            <w:noWrap/>
            <w:vAlign w:val="center"/>
          </w:tcPr>
          <w:p>
            <w:pPr>
              <w:jc w:val="right"/>
              <w:rPr>
                <w:color w:val="000000"/>
              </w:rPr>
            </w:pPr>
            <w:r>
              <w:rPr>
                <w:color w:val="000000"/>
                <w:szCs w:val="21"/>
              </w:rPr>
              <w:t>36,585,365</w:t>
            </w:r>
          </w:p>
        </w:tc>
        <w:tc>
          <w:tcPr>
            <w:tcW w:w="989" w:type="pct"/>
            <w:noWrap/>
            <w:vAlign w:val="center"/>
          </w:tcPr>
          <w:p>
            <w:pPr>
              <w:jc w:val="right"/>
              <w:rPr>
                <w:color w:val="000000"/>
              </w:rPr>
            </w:pPr>
            <w:r>
              <w:rPr>
                <w:color w:val="000000"/>
                <w:szCs w:val="21"/>
              </w:rPr>
              <w:t>149,999,996.50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7</w:t>
            </w:r>
          </w:p>
        </w:tc>
        <w:tc>
          <w:tcPr>
            <w:tcW w:w="2248" w:type="pct"/>
            <w:vAlign w:val="center"/>
          </w:tcPr>
          <w:p>
            <w:pPr>
              <w:rPr>
                <w:color w:val="000000"/>
              </w:rPr>
            </w:pPr>
            <w:r>
              <w:rPr>
                <w:color w:val="000000"/>
                <w:szCs w:val="21"/>
              </w:rPr>
              <w:t>财通基金管理有限公司</w:t>
            </w:r>
          </w:p>
        </w:tc>
        <w:tc>
          <w:tcPr>
            <w:tcW w:w="827" w:type="pct"/>
            <w:noWrap/>
            <w:vAlign w:val="center"/>
          </w:tcPr>
          <w:p>
            <w:pPr>
              <w:jc w:val="right"/>
              <w:rPr>
                <w:color w:val="000000"/>
              </w:rPr>
            </w:pPr>
            <w:r>
              <w:rPr>
                <w:color w:val="000000"/>
                <w:szCs w:val="21"/>
              </w:rPr>
              <w:t>26,414,642</w:t>
            </w:r>
          </w:p>
        </w:tc>
        <w:tc>
          <w:tcPr>
            <w:tcW w:w="989" w:type="pct"/>
            <w:noWrap/>
            <w:vAlign w:val="center"/>
          </w:tcPr>
          <w:p>
            <w:pPr>
              <w:jc w:val="right"/>
              <w:rPr>
                <w:color w:val="000000"/>
              </w:rPr>
            </w:pPr>
            <w:r>
              <w:rPr>
                <w:color w:val="000000"/>
                <w:szCs w:val="21"/>
              </w:rPr>
              <w:t>108,300,032.20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8</w:t>
            </w:r>
          </w:p>
        </w:tc>
        <w:tc>
          <w:tcPr>
            <w:tcW w:w="2248" w:type="pct"/>
            <w:vAlign w:val="center"/>
          </w:tcPr>
          <w:p>
            <w:pPr>
              <w:rPr>
                <w:color w:val="000000"/>
              </w:rPr>
            </w:pPr>
            <w:r>
              <w:rPr>
                <w:color w:val="000000"/>
                <w:szCs w:val="21"/>
              </w:rPr>
              <w:t>瑞众人寿保险有限责任公司</w:t>
            </w:r>
          </w:p>
        </w:tc>
        <w:tc>
          <w:tcPr>
            <w:tcW w:w="827" w:type="pct"/>
            <w:noWrap/>
            <w:vAlign w:val="center"/>
          </w:tcPr>
          <w:p>
            <w:pPr>
              <w:jc w:val="right"/>
              <w:rPr>
                <w:color w:val="000000"/>
              </w:rPr>
            </w:pPr>
            <w:r>
              <w:rPr>
                <w:color w:val="000000"/>
                <w:szCs w:val="21"/>
              </w:rPr>
              <w:t>24,390,243</w:t>
            </w:r>
          </w:p>
        </w:tc>
        <w:tc>
          <w:tcPr>
            <w:tcW w:w="989" w:type="pct"/>
            <w:noWrap/>
            <w:vAlign w:val="center"/>
          </w:tcPr>
          <w:p>
            <w:pPr>
              <w:jc w:val="right"/>
              <w:rPr>
                <w:color w:val="000000"/>
              </w:rPr>
            </w:pPr>
            <w:r>
              <w:rPr>
                <w:color w:val="000000"/>
                <w:szCs w:val="21"/>
              </w:rPr>
              <w:t>99,999,996.30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9</w:t>
            </w:r>
          </w:p>
        </w:tc>
        <w:tc>
          <w:tcPr>
            <w:tcW w:w="2248" w:type="pct"/>
            <w:vAlign w:val="center"/>
          </w:tcPr>
          <w:p>
            <w:pPr>
              <w:rPr>
                <w:color w:val="000000"/>
              </w:rPr>
            </w:pPr>
            <w:r>
              <w:rPr>
                <w:color w:val="000000"/>
                <w:szCs w:val="21"/>
              </w:rPr>
              <w:t>江苏高投毅达绿色转型产业投资基金（有限合伙）</w:t>
            </w:r>
          </w:p>
        </w:tc>
        <w:tc>
          <w:tcPr>
            <w:tcW w:w="827" w:type="pct"/>
            <w:noWrap/>
            <w:vAlign w:val="center"/>
          </w:tcPr>
          <w:p>
            <w:pPr>
              <w:jc w:val="right"/>
              <w:rPr>
                <w:color w:val="000000"/>
              </w:rPr>
            </w:pPr>
            <w:r>
              <w:rPr>
                <w:color w:val="000000"/>
                <w:szCs w:val="21"/>
              </w:rPr>
              <w:t>19,512,195</w:t>
            </w:r>
          </w:p>
        </w:tc>
        <w:tc>
          <w:tcPr>
            <w:tcW w:w="989" w:type="pct"/>
            <w:noWrap/>
            <w:vAlign w:val="center"/>
          </w:tcPr>
          <w:p>
            <w:pPr>
              <w:jc w:val="right"/>
              <w:rPr>
                <w:color w:val="000000"/>
              </w:rPr>
            </w:pPr>
            <w:r>
              <w:rPr>
                <w:color w:val="000000"/>
                <w:szCs w:val="21"/>
              </w:rPr>
              <w:t>79,999,999.50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10</w:t>
            </w:r>
          </w:p>
        </w:tc>
        <w:tc>
          <w:tcPr>
            <w:tcW w:w="2248" w:type="pct"/>
            <w:vAlign w:val="center"/>
          </w:tcPr>
          <w:p>
            <w:pPr>
              <w:rPr>
                <w:color w:val="000000"/>
              </w:rPr>
            </w:pPr>
            <w:r>
              <w:rPr>
                <w:color w:val="000000"/>
                <w:szCs w:val="21"/>
              </w:rPr>
              <w:t>国调创新私募股权投资基金（南昌）合伙企业（有限合伙）</w:t>
            </w:r>
          </w:p>
        </w:tc>
        <w:tc>
          <w:tcPr>
            <w:tcW w:w="827" w:type="pct"/>
            <w:noWrap/>
            <w:vAlign w:val="center"/>
          </w:tcPr>
          <w:p>
            <w:pPr>
              <w:jc w:val="right"/>
              <w:rPr>
                <w:color w:val="000000"/>
              </w:rPr>
            </w:pPr>
            <w:r>
              <w:rPr>
                <w:color w:val="000000"/>
                <w:szCs w:val="21"/>
              </w:rPr>
              <w:t>19,512,195</w:t>
            </w:r>
          </w:p>
        </w:tc>
        <w:tc>
          <w:tcPr>
            <w:tcW w:w="989" w:type="pct"/>
            <w:noWrap/>
            <w:vAlign w:val="center"/>
          </w:tcPr>
          <w:p>
            <w:pPr>
              <w:jc w:val="right"/>
              <w:rPr>
                <w:color w:val="000000"/>
              </w:rPr>
            </w:pPr>
            <w:r>
              <w:rPr>
                <w:color w:val="000000"/>
                <w:szCs w:val="21"/>
              </w:rPr>
              <w:t>79,999,999.50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11</w:t>
            </w:r>
          </w:p>
        </w:tc>
        <w:tc>
          <w:tcPr>
            <w:tcW w:w="2248" w:type="pct"/>
            <w:vAlign w:val="center"/>
          </w:tcPr>
          <w:p>
            <w:pPr>
              <w:rPr>
                <w:color w:val="000000"/>
              </w:rPr>
            </w:pPr>
            <w:r>
              <w:rPr>
                <w:color w:val="000000"/>
                <w:szCs w:val="21"/>
              </w:rPr>
              <w:t>深圳市达晨财智创业投资管理有限公司-江西赣江新区财投晨源股权投资中心（有限合伙）</w:t>
            </w:r>
          </w:p>
        </w:tc>
        <w:tc>
          <w:tcPr>
            <w:tcW w:w="827" w:type="pct"/>
            <w:noWrap/>
            <w:vAlign w:val="center"/>
          </w:tcPr>
          <w:p>
            <w:pPr>
              <w:jc w:val="right"/>
              <w:rPr>
                <w:color w:val="000000"/>
              </w:rPr>
            </w:pPr>
            <w:r>
              <w:rPr>
                <w:color w:val="000000"/>
                <w:szCs w:val="21"/>
              </w:rPr>
              <w:t>17,073,170</w:t>
            </w:r>
          </w:p>
        </w:tc>
        <w:tc>
          <w:tcPr>
            <w:tcW w:w="989" w:type="pct"/>
            <w:noWrap/>
            <w:vAlign w:val="center"/>
          </w:tcPr>
          <w:p>
            <w:pPr>
              <w:jc w:val="right"/>
              <w:rPr>
                <w:color w:val="000000"/>
              </w:rPr>
            </w:pPr>
            <w:r>
              <w:rPr>
                <w:color w:val="000000"/>
                <w:szCs w:val="21"/>
              </w:rPr>
              <w:t>69,999,997.00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12</w:t>
            </w:r>
          </w:p>
        </w:tc>
        <w:tc>
          <w:tcPr>
            <w:tcW w:w="2248" w:type="pct"/>
            <w:vAlign w:val="center"/>
          </w:tcPr>
          <w:p>
            <w:pPr>
              <w:rPr>
                <w:color w:val="000000"/>
              </w:rPr>
            </w:pPr>
            <w:r>
              <w:rPr>
                <w:rFonts w:hint="eastAsia"/>
                <w:color w:val="000000"/>
                <w:szCs w:val="21"/>
              </w:rPr>
              <w:t>国泰君安证券股份有限公司</w:t>
            </w:r>
            <w:r>
              <w:rPr>
                <w:rFonts w:hint="eastAsia"/>
                <w:vertAlign w:val="superscript"/>
              </w:rPr>
              <w:t>注</w:t>
            </w:r>
          </w:p>
        </w:tc>
        <w:tc>
          <w:tcPr>
            <w:tcW w:w="827" w:type="pct"/>
            <w:noWrap/>
            <w:vAlign w:val="center"/>
          </w:tcPr>
          <w:p>
            <w:pPr>
              <w:jc w:val="right"/>
              <w:rPr>
                <w:color w:val="000000"/>
              </w:rPr>
            </w:pPr>
            <w:r>
              <w:rPr>
                <w:color w:val="000000"/>
                <w:szCs w:val="21"/>
              </w:rPr>
              <w:t>16,829,268</w:t>
            </w:r>
          </w:p>
        </w:tc>
        <w:tc>
          <w:tcPr>
            <w:tcW w:w="989" w:type="pct"/>
            <w:noWrap/>
            <w:vAlign w:val="center"/>
          </w:tcPr>
          <w:p>
            <w:pPr>
              <w:jc w:val="right"/>
              <w:rPr>
                <w:color w:val="000000"/>
              </w:rPr>
            </w:pPr>
            <w:r>
              <w:rPr>
                <w:color w:val="000000"/>
                <w:szCs w:val="21"/>
              </w:rPr>
              <w:t>68,999,998.80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13</w:t>
            </w:r>
          </w:p>
        </w:tc>
        <w:tc>
          <w:tcPr>
            <w:tcW w:w="2248" w:type="pct"/>
            <w:vAlign w:val="center"/>
          </w:tcPr>
          <w:p>
            <w:pPr>
              <w:rPr>
                <w:color w:val="000000"/>
              </w:rPr>
            </w:pPr>
            <w:r>
              <w:rPr>
                <w:color w:val="000000"/>
                <w:szCs w:val="21"/>
              </w:rPr>
              <w:t>中节能（湖北）环保产业股权投资基金合伙企业（有限合伙）</w:t>
            </w:r>
          </w:p>
        </w:tc>
        <w:tc>
          <w:tcPr>
            <w:tcW w:w="827" w:type="pct"/>
            <w:noWrap/>
            <w:vAlign w:val="center"/>
          </w:tcPr>
          <w:p>
            <w:pPr>
              <w:jc w:val="right"/>
              <w:rPr>
                <w:color w:val="000000"/>
              </w:rPr>
            </w:pPr>
            <w:r>
              <w:rPr>
                <w:color w:val="000000"/>
                <w:szCs w:val="21"/>
              </w:rPr>
              <w:t>14,634,146</w:t>
            </w:r>
          </w:p>
        </w:tc>
        <w:tc>
          <w:tcPr>
            <w:tcW w:w="989" w:type="pct"/>
            <w:noWrap/>
            <w:vAlign w:val="center"/>
          </w:tcPr>
          <w:p>
            <w:pPr>
              <w:jc w:val="right"/>
              <w:rPr>
                <w:color w:val="000000"/>
              </w:rPr>
            </w:pPr>
            <w:r>
              <w:rPr>
                <w:color w:val="000000"/>
                <w:szCs w:val="21"/>
              </w:rPr>
              <w:t>59,999,998.60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14</w:t>
            </w:r>
          </w:p>
        </w:tc>
        <w:tc>
          <w:tcPr>
            <w:tcW w:w="2248" w:type="pct"/>
            <w:vAlign w:val="center"/>
          </w:tcPr>
          <w:p>
            <w:pPr>
              <w:rPr>
                <w:color w:val="000000"/>
              </w:rPr>
            </w:pPr>
            <w:r>
              <w:rPr>
                <w:color w:val="000000"/>
                <w:szCs w:val="21"/>
              </w:rPr>
              <w:t>王梓煜</w:t>
            </w:r>
          </w:p>
        </w:tc>
        <w:tc>
          <w:tcPr>
            <w:tcW w:w="827" w:type="pct"/>
            <w:noWrap/>
            <w:vAlign w:val="center"/>
          </w:tcPr>
          <w:p>
            <w:pPr>
              <w:jc w:val="right"/>
              <w:rPr>
                <w:color w:val="000000"/>
              </w:rPr>
            </w:pPr>
            <w:r>
              <w:rPr>
                <w:color w:val="000000"/>
                <w:szCs w:val="21"/>
              </w:rPr>
              <w:t>12,195,121</w:t>
            </w:r>
          </w:p>
        </w:tc>
        <w:tc>
          <w:tcPr>
            <w:tcW w:w="989" w:type="pct"/>
            <w:noWrap/>
            <w:vAlign w:val="center"/>
          </w:tcPr>
          <w:p>
            <w:pPr>
              <w:jc w:val="right"/>
              <w:rPr>
                <w:color w:val="000000"/>
              </w:rPr>
            </w:pPr>
            <w:r>
              <w:rPr>
                <w:color w:val="000000"/>
                <w:szCs w:val="21"/>
              </w:rPr>
              <w:t>49,999,996.10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15</w:t>
            </w:r>
          </w:p>
        </w:tc>
        <w:tc>
          <w:tcPr>
            <w:tcW w:w="2248" w:type="pct"/>
            <w:vAlign w:val="center"/>
          </w:tcPr>
          <w:p>
            <w:pPr>
              <w:rPr>
                <w:color w:val="000000"/>
              </w:rPr>
            </w:pPr>
            <w:r>
              <w:rPr>
                <w:color w:val="000000"/>
                <w:szCs w:val="21"/>
              </w:rPr>
              <w:t>山东三足私募证券投资基金管理有限公司-三足天富2号私募证券投资基金</w:t>
            </w:r>
          </w:p>
        </w:tc>
        <w:tc>
          <w:tcPr>
            <w:tcW w:w="827" w:type="pct"/>
            <w:noWrap/>
            <w:vAlign w:val="center"/>
          </w:tcPr>
          <w:p>
            <w:pPr>
              <w:jc w:val="right"/>
              <w:rPr>
                <w:color w:val="000000"/>
              </w:rPr>
            </w:pPr>
            <w:r>
              <w:rPr>
                <w:color w:val="000000"/>
                <w:szCs w:val="21"/>
              </w:rPr>
              <w:t>12,195,121</w:t>
            </w:r>
          </w:p>
        </w:tc>
        <w:tc>
          <w:tcPr>
            <w:tcW w:w="989" w:type="pct"/>
            <w:noWrap/>
            <w:vAlign w:val="center"/>
          </w:tcPr>
          <w:p>
            <w:pPr>
              <w:jc w:val="right"/>
              <w:rPr>
                <w:color w:val="000000"/>
              </w:rPr>
            </w:pPr>
            <w:r>
              <w:rPr>
                <w:color w:val="000000"/>
                <w:szCs w:val="21"/>
              </w:rPr>
              <w:t>49,999,996.10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0" w:type="pct"/>
            <w:vAlign w:val="center"/>
          </w:tcPr>
          <w:p>
            <w:pPr>
              <w:jc w:val="right"/>
              <w:rPr>
                <w:color w:val="000000"/>
              </w:rPr>
            </w:pPr>
            <w:r>
              <w:rPr>
                <w:color w:val="000000"/>
              </w:rPr>
              <w:t>16</w:t>
            </w:r>
          </w:p>
        </w:tc>
        <w:tc>
          <w:tcPr>
            <w:tcW w:w="2248" w:type="pct"/>
            <w:vAlign w:val="center"/>
          </w:tcPr>
          <w:p>
            <w:pPr>
              <w:rPr>
                <w:color w:val="000000"/>
              </w:rPr>
            </w:pPr>
            <w:r>
              <w:rPr>
                <w:color w:val="000000"/>
                <w:szCs w:val="21"/>
              </w:rPr>
              <w:t>济南瀚祥投资管理合伙企业（有限合伙）</w:t>
            </w:r>
          </w:p>
        </w:tc>
        <w:tc>
          <w:tcPr>
            <w:tcW w:w="827" w:type="pct"/>
            <w:noWrap/>
            <w:vAlign w:val="center"/>
          </w:tcPr>
          <w:p>
            <w:pPr>
              <w:jc w:val="right"/>
              <w:rPr>
                <w:color w:val="000000"/>
              </w:rPr>
            </w:pPr>
            <w:r>
              <w:rPr>
                <w:color w:val="000000"/>
                <w:szCs w:val="21"/>
              </w:rPr>
              <w:t>12,195,121</w:t>
            </w:r>
          </w:p>
        </w:tc>
        <w:tc>
          <w:tcPr>
            <w:tcW w:w="989" w:type="pct"/>
            <w:noWrap/>
            <w:vAlign w:val="center"/>
          </w:tcPr>
          <w:p>
            <w:pPr>
              <w:jc w:val="right"/>
              <w:rPr>
                <w:color w:val="000000"/>
              </w:rPr>
            </w:pPr>
            <w:r>
              <w:rPr>
                <w:color w:val="000000"/>
                <w:szCs w:val="21"/>
              </w:rPr>
              <w:t>49,999,996.10</w:t>
            </w:r>
          </w:p>
        </w:tc>
        <w:tc>
          <w:tcPr>
            <w:tcW w:w="555" w:type="pct"/>
            <w:vAlign w:val="center"/>
          </w:tcPr>
          <w:p>
            <w:pPr>
              <w:jc w:val="right"/>
              <w:rPr>
                <w:color w:val="000000"/>
              </w:rPr>
            </w:pPr>
            <w:r>
              <w:rPr>
                <w:color w:val="000000"/>
              </w:rPr>
              <w:t>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499" w:type="pct"/>
            <w:gridSpan w:val="2"/>
            <w:vAlign w:val="center"/>
          </w:tcPr>
          <w:p>
            <w:pPr>
              <w:jc w:val="center"/>
              <w:rPr>
                <w:color w:val="000000"/>
              </w:rPr>
            </w:pPr>
            <w:r>
              <w:rPr>
                <w:b/>
                <w:bCs/>
                <w:color w:val="000000"/>
                <w:szCs w:val="21"/>
              </w:rPr>
              <w:t>合计</w:t>
            </w:r>
          </w:p>
        </w:tc>
        <w:tc>
          <w:tcPr>
            <w:tcW w:w="827" w:type="pct"/>
            <w:noWrap/>
            <w:vAlign w:val="center"/>
          </w:tcPr>
          <w:p>
            <w:pPr>
              <w:jc w:val="right"/>
              <w:rPr>
                <w:color w:val="000000"/>
              </w:rPr>
            </w:pPr>
            <w:r>
              <w:rPr>
                <w:b/>
                <w:bCs/>
                <w:color w:val="000000"/>
                <w:szCs w:val="21"/>
              </w:rPr>
              <w:t>731,707,317</w:t>
            </w:r>
          </w:p>
        </w:tc>
        <w:tc>
          <w:tcPr>
            <w:tcW w:w="989" w:type="pct"/>
            <w:noWrap/>
            <w:vAlign w:val="center"/>
          </w:tcPr>
          <w:p>
            <w:pPr>
              <w:jc w:val="right"/>
              <w:rPr>
                <w:color w:val="000000"/>
              </w:rPr>
            </w:pPr>
            <w:r>
              <w:rPr>
                <w:b/>
                <w:bCs/>
                <w:color w:val="000000"/>
                <w:szCs w:val="21"/>
              </w:rPr>
              <w:t>2,999,999,999.70</w:t>
            </w:r>
          </w:p>
        </w:tc>
        <w:tc>
          <w:tcPr>
            <w:tcW w:w="555" w:type="pct"/>
            <w:vAlign w:val="center"/>
          </w:tcPr>
          <w:p>
            <w:pPr>
              <w:jc w:val="right"/>
              <w:rPr>
                <w:color w:val="000000"/>
              </w:rPr>
            </w:pPr>
            <w:r>
              <w:rPr>
                <w:b/>
                <w:bCs/>
                <w:color w:val="000000"/>
                <w:szCs w:val="21"/>
              </w:rPr>
              <w:t>-</w:t>
            </w:r>
          </w:p>
        </w:tc>
      </w:tr>
      <w:bookmarkEnd w:id="1"/>
    </w:tbl>
    <w:p>
      <w:pPr>
        <w:rPr>
          <w:color w:val="000000"/>
          <w:szCs w:val="21"/>
        </w:rPr>
      </w:pPr>
      <w:r>
        <w:rPr>
          <w:rFonts w:hint="eastAsia"/>
          <w:color w:val="000000"/>
          <w:szCs w:val="21"/>
        </w:rPr>
        <w:t>注：国泰君安证券股份有限公司已于2025年4月更名为国泰海通证券股份有限公司。</w:t>
      </w:r>
    </w:p>
    <w:p>
      <w:pPr>
        <w:spacing w:line="380" w:lineRule="exact"/>
        <w:ind w:firstLine="480" w:firstLineChars="200"/>
        <w:rPr>
          <w:bCs/>
          <w:sz w:val="24"/>
          <w:szCs w:val="24"/>
        </w:rPr>
      </w:pPr>
      <w:r>
        <w:rPr>
          <w:rFonts w:hint="eastAsia"/>
          <w:bCs/>
          <w:sz w:val="24"/>
          <w:szCs w:val="24"/>
        </w:rPr>
        <w:t>除公司控股股东</w:t>
      </w:r>
      <w:r>
        <w:rPr>
          <w:bCs/>
          <w:sz w:val="24"/>
          <w:szCs w:val="24"/>
        </w:rPr>
        <w:t>国家能源集团</w:t>
      </w:r>
      <w:r>
        <w:rPr>
          <w:rFonts w:hint="eastAsia"/>
          <w:bCs/>
          <w:sz w:val="24"/>
          <w:szCs w:val="24"/>
        </w:rPr>
        <w:t>外，其他发行对象所认购的股份合计</w:t>
      </w:r>
      <w:r>
        <w:rPr>
          <w:bCs/>
          <w:sz w:val="24"/>
          <w:szCs w:val="24"/>
        </w:rPr>
        <w:t>512,195,121</w:t>
      </w:r>
      <w:r>
        <w:rPr>
          <w:rFonts w:hint="eastAsia"/>
          <w:bCs/>
          <w:sz w:val="24"/>
          <w:szCs w:val="24"/>
        </w:rPr>
        <w:t>股已于2025年6月3日解除限售上市流通。</w:t>
      </w:r>
    </w:p>
    <w:p>
      <w:pPr>
        <w:spacing w:line="380" w:lineRule="exact"/>
        <w:ind w:firstLine="482" w:firstLineChars="200"/>
        <w:rPr>
          <w:b/>
          <w:sz w:val="24"/>
          <w:szCs w:val="24"/>
        </w:rPr>
      </w:pPr>
      <w:r>
        <w:rPr>
          <w:rFonts w:hint="eastAsia"/>
          <w:b/>
          <w:sz w:val="24"/>
          <w:szCs w:val="24"/>
        </w:rPr>
        <w:t>二、</w:t>
      </w:r>
      <w:r>
        <w:rPr>
          <w:b/>
          <w:sz w:val="24"/>
          <w:szCs w:val="24"/>
        </w:rPr>
        <w:t>本次限售股形成后至今公司股本数量变化情况</w:t>
      </w:r>
    </w:p>
    <w:p>
      <w:pPr>
        <w:spacing w:line="380" w:lineRule="exact"/>
        <w:ind w:firstLine="480" w:firstLineChars="200"/>
        <w:rPr>
          <w:bCs/>
          <w:sz w:val="24"/>
          <w:szCs w:val="24"/>
        </w:rPr>
      </w:pPr>
      <w:r>
        <w:rPr>
          <w:bCs/>
          <w:sz w:val="24"/>
          <w:szCs w:val="24"/>
        </w:rPr>
        <w:t>本次向特定对象发行股票完成</w:t>
      </w:r>
      <w:r>
        <w:rPr>
          <w:rFonts w:hint="eastAsia"/>
          <w:bCs/>
          <w:sz w:val="24"/>
          <w:szCs w:val="24"/>
        </w:rPr>
        <w:t>暨限售股形成</w:t>
      </w:r>
      <w:r>
        <w:rPr>
          <w:bCs/>
          <w:sz w:val="24"/>
          <w:szCs w:val="24"/>
        </w:rPr>
        <w:t>后，公司总股本由2,749,327,699股增加至3,481,035,016股</w:t>
      </w:r>
      <w:r>
        <w:rPr>
          <w:rFonts w:hint="eastAsia"/>
          <w:bCs/>
          <w:sz w:val="24"/>
          <w:szCs w:val="24"/>
        </w:rPr>
        <w:t>。</w:t>
      </w:r>
    </w:p>
    <w:p>
      <w:pPr>
        <w:spacing w:line="380" w:lineRule="exact"/>
        <w:ind w:firstLine="480" w:firstLineChars="200"/>
        <w:rPr>
          <w:bCs/>
          <w:sz w:val="24"/>
          <w:szCs w:val="24"/>
        </w:rPr>
      </w:pPr>
      <w:r>
        <w:rPr>
          <w:rFonts w:hint="eastAsia"/>
          <w:sz w:val="24"/>
        </w:rPr>
        <w:t>除上述情形外，本次限售股形成至本公告披露日，公司未发生因配股、送红股、资本公积金转增股本等导致股本数量变化的情况。</w:t>
      </w:r>
    </w:p>
    <w:p>
      <w:pPr>
        <w:spacing w:line="380" w:lineRule="exact"/>
        <w:ind w:firstLine="482" w:firstLineChars="200"/>
        <w:rPr>
          <w:b/>
          <w:sz w:val="24"/>
          <w:szCs w:val="24"/>
        </w:rPr>
      </w:pPr>
      <w:r>
        <w:rPr>
          <w:rFonts w:hint="eastAsia"/>
          <w:b/>
          <w:sz w:val="24"/>
          <w:szCs w:val="24"/>
        </w:rPr>
        <w:t>三</w:t>
      </w:r>
      <w:r>
        <w:rPr>
          <w:b/>
          <w:sz w:val="24"/>
          <w:szCs w:val="24"/>
        </w:rPr>
        <w:t xml:space="preserve">、申请解除股份限售股东履行承诺情况 </w:t>
      </w:r>
    </w:p>
    <w:p>
      <w:pPr>
        <w:spacing w:line="380" w:lineRule="exact"/>
        <w:ind w:firstLine="480" w:firstLineChars="200"/>
        <w:rPr>
          <w:color w:val="000000"/>
          <w:sz w:val="24"/>
          <w:szCs w:val="24"/>
        </w:rPr>
      </w:pPr>
      <w:r>
        <w:rPr>
          <w:color w:val="000000"/>
          <w:sz w:val="24"/>
          <w:szCs w:val="24"/>
        </w:rPr>
        <w:t>（一）股份锁定承诺</w:t>
      </w:r>
    </w:p>
    <w:p>
      <w:pPr>
        <w:spacing w:line="360" w:lineRule="auto"/>
        <w:ind w:firstLine="480" w:firstLineChars="200"/>
        <w:rPr>
          <w:color w:val="000000"/>
          <w:sz w:val="24"/>
          <w:szCs w:val="24"/>
        </w:rPr>
      </w:pPr>
      <w:r>
        <w:rPr>
          <w:rFonts w:hint="eastAsia"/>
          <w:color w:val="000000"/>
          <w:sz w:val="24"/>
          <w:szCs w:val="24"/>
        </w:rPr>
        <w:t>本次申请解除股份限售的股东为公司控股股东</w:t>
      </w:r>
      <w:r>
        <w:rPr>
          <w:color w:val="000000"/>
          <w:sz w:val="24"/>
          <w:szCs w:val="24"/>
        </w:rPr>
        <w:t>国家能源集团</w:t>
      </w:r>
      <w:r>
        <w:rPr>
          <w:rFonts w:hint="eastAsia"/>
          <w:color w:val="000000"/>
          <w:sz w:val="24"/>
          <w:szCs w:val="24"/>
        </w:rPr>
        <w:t>，其作出的各项承诺及履行情况如下：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386"/>
        <w:gridCol w:w="738"/>
        <w:gridCol w:w="682"/>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563" w:type="pct"/>
            <w:vAlign w:val="center"/>
          </w:tcPr>
          <w:p>
            <w:pPr>
              <w:keepNext/>
              <w:jc w:val="center"/>
              <w:rPr>
                <w:b/>
                <w:color w:val="000000"/>
              </w:rPr>
            </w:pPr>
            <w:r>
              <w:rPr>
                <w:b/>
                <w:color w:val="000000"/>
              </w:rPr>
              <w:t>承诺</w:t>
            </w:r>
          </w:p>
          <w:p>
            <w:pPr>
              <w:keepNext/>
              <w:jc w:val="center"/>
              <w:rPr>
                <w:b/>
                <w:color w:val="000000"/>
              </w:rPr>
            </w:pPr>
            <w:r>
              <w:rPr>
                <w:b/>
                <w:color w:val="000000"/>
              </w:rPr>
              <w:t>类型</w:t>
            </w:r>
          </w:p>
        </w:tc>
        <w:tc>
          <w:tcPr>
            <w:tcW w:w="3160" w:type="pct"/>
            <w:vAlign w:val="center"/>
          </w:tcPr>
          <w:p>
            <w:pPr>
              <w:jc w:val="center"/>
              <w:rPr>
                <w:b/>
                <w:color w:val="000000"/>
              </w:rPr>
            </w:pPr>
            <w:r>
              <w:rPr>
                <w:b/>
                <w:color w:val="000000"/>
              </w:rPr>
              <w:t>承诺内容</w:t>
            </w:r>
          </w:p>
        </w:tc>
        <w:tc>
          <w:tcPr>
            <w:tcW w:w="433" w:type="pct"/>
            <w:vAlign w:val="center"/>
          </w:tcPr>
          <w:p>
            <w:pPr>
              <w:jc w:val="center"/>
              <w:rPr>
                <w:b/>
                <w:color w:val="000000"/>
              </w:rPr>
            </w:pPr>
            <w:r>
              <w:rPr>
                <w:b/>
                <w:color w:val="000000"/>
              </w:rPr>
              <w:t>承诺时间</w:t>
            </w:r>
          </w:p>
        </w:tc>
        <w:tc>
          <w:tcPr>
            <w:tcW w:w="400" w:type="pct"/>
            <w:vAlign w:val="center"/>
          </w:tcPr>
          <w:p>
            <w:pPr>
              <w:jc w:val="center"/>
              <w:rPr>
                <w:b/>
                <w:color w:val="000000"/>
              </w:rPr>
            </w:pPr>
            <w:r>
              <w:rPr>
                <w:b/>
                <w:color w:val="000000"/>
              </w:rPr>
              <w:t>承诺期限</w:t>
            </w:r>
          </w:p>
        </w:tc>
        <w:tc>
          <w:tcPr>
            <w:tcW w:w="444" w:type="pct"/>
            <w:vAlign w:val="center"/>
          </w:tcPr>
          <w:p>
            <w:pPr>
              <w:jc w:val="center"/>
              <w:rPr>
                <w:b/>
                <w:color w:val="000000"/>
              </w:rPr>
            </w:pPr>
            <w:r>
              <w:rPr>
                <w:b/>
                <w:color w:val="000000"/>
              </w:rPr>
              <w:t>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3" w:type="pct"/>
            <w:vAlign w:val="center"/>
          </w:tcPr>
          <w:p>
            <w:pPr>
              <w:jc w:val="left"/>
              <w:rPr>
                <w:color w:val="000000"/>
              </w:rPr>
            </w:pPr>
            <w:r>
              <w:rPr>
                <w:color w:val="000000"/>
              </w:rPr>
              <w:t>关于标的资产瑕疵资产办证情况的承诺</w:t>
            </w:r>
          </w:p>
        </w:tc>
        <w:tc>
          <w:tcPr>
            <w:tcW w:w="3160" w:type="pct"/>
            <w:vAlign w:val="center"/>
          </w:tcPr>
          <w:p>
            <w:pPr>
              <w:jc w:val="left"/>
              <w:rPr>
                <w:color w:val="000000"/>
              </w:rPr>
            </w:pPr>
            <w:r>
              <w:rPr>
                <w:color w:val="000000"/>
              </w:rPr>
              <w:t>1.标的公司合法拥有保证其正常经营所需的土地、房产、设备、知识产权等资产的所有权及/或使用权，主要资产权属清晰，不存在产权纠纷；2.若因相关土地、房产未取得权属证书等事由导致湖北电力及其控股子公司遭受任何损失，包括但不限于被有关有权机关认定为违反相关法律规定而进行罚款，或要求对相关房产进行拆除、搬迁、重建以及承担其他任何形式的法律责任，将在长源电力依法确定该等事项造成的实际损失后3个月内，按照本次交易该等瑕疵土地、房产的评估价值，由本集团向长源电力进行现金补偿。上述承诺自湖北电力上述土地、房产权属证书取得之日起自动终止。</w:t>
            </w:r>
          </w:p>
        </w:tc>
        <w:tc>
          <w:tcPr>
            <w:tcW w:w="433" w:type="pct"/>
            <w:vAlign w:val="center"/>
          </w:tcPr>
          <w:p>
            <w:pPr>
              <w:jc w:val="left"/>
              <w:rPr>
                <w:color w:val="000000"/>
              </w:rPr>
            </w:pPr>
            <w:r>
              <w:rPr>
                <w:color w:val="000000"/>
              </w:rPr>
              <w:t>2020年11月17日</w:t>
            </w:r>
          </w:p>
        </w:tc>
        <w:tc>
          <w:tcPr>
            <w:tcW w:w="400" w:type="pct"/>
            <w:vAlign w:val="center"/>
          </w:tcPr>
          <w:p>
            <w:pPr>
              <w:jc w:val="left"/>
              <w:rPr>
                <w:color w:val="000000"/>
              </w:rPr>
            </w:pPr>
            <w:r>
              <w:rPr>
                <w:color w:val="000000"/>
              </w:rPr>
              <w:t>长期有效</w:t>
            </w:r>
          </w:p>
        </w:tc>
        <w:tc>
          <w:tcPr>
            <w:tcW w:w="444" w:type="pct"/>
            <w:vAlign w:val="center"/>
          </w:tcPr>
          <w:p>
            <w:pPr>
              <w:jc w:val="left"/>
              <w:rPr>
                <w:color w:val="000000"/>
              </w:rPr>
            </w:pPr>
            <w:r>
              <w:rPr>
                <w:color w:val="000000"/>
              </w:rPr>
              <w:t>正常履行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3" w:type="pct"/>
            <w:vAlign w:val="center"/>
          </w:tcPr>
          <w:p>
            <w:pPr>
              <w:jc w:val="left"/>
              <w:rPr>
                <w:color w:val="000000"/>
              </w:rPr>
            </w:pPr>
            <w:r>
              <w:rPr>
                <w:rFonts w:hint="eastAsia"/>
                <w:color w:val="000000"/>
              </w:rPr>
              <w:t>股份限售</w:t>
            </w:r>
            <w:r>
              <w:rPr>
                <w:color w:val="000000"/>
              </w:rPr>
              <w:t>承诺</w:t>
            </w:r>
          </w:p>
        </w:tc>
        <w:tc>
          <w:tcPr>
            <w:tcW w:w="3160" w:type="pct"/>
            <w:vAlign w:val="center"/>
          </w:tcPr>
          <w:p>
            <w:pPr>
              <w:jc w:val="left"/>
              <w:rPr>
                <w:color w:val="000000"/>
              </w:rPr>
            </w:pPr>
            <w:r>
              <w:rPr>
                <w:rFonts w:hint="eastAsia"/>
                <w:color w:val="000000"/>
              </w:rPr>
              <w:t>公司向特定对象发行的股票于2024年12月3日在深圳证券交易所上市，公司控股股东国家能源集团认购本次发行的</w:t>
            </w:r>
            <w:r>
              <w:rPr>
                <w:color w:val="000000"/>
              </w:rPr>
              <w:t>219,512,196</w:t>
            </w:r>
            <w:r>
              <w:rPr>
                <w:rFonts w:hint="eastAsia"/>
                <w:color w:val="000000"/>
              </w:rPr>
              <w:t>股A股股票</w:t>
            </w:r>
            <w:r>
              <w:rPr>
                <w:color w:val="000000"/>
              </w:rPr>
              <w:t>自发行结束并上市之日起</w:t>
            </w:r>
            <w:r>
              <w:rPr>
                <w:rFonts w:hint="eastAsia"/>
                <w:color w:val="000000"/>
              </w:rPr>
              <w:t>18个月内不得转让</w:t>
            </w:r>
            <w:r>
              <w:rPr>
                <w:color w:val="000000"/>
              </w:rPr>
              <w:t>。</w:t>
            </w:r>
          </w:p>
        </w:tc>
        <w:tc>
          <w:tcPr>
            <w:tcW w:w="433" w:type="pct"/>
            <w:vAlign w:val="center"/>
          </w:tcPr>
          <w:p>
            <w:pPr>
              <w:jc w:val="left"/>
              <w:rPr>
                <w:color w:val="000000"/>
              </w:rPr>
            </w:pPr>
            <w:r>
              <w:rPr>
                <w:color w:val="000000"/>
              </w:rPr>
              <w:t>202</w:t>
            </w:r>
            <w:r>
              <w:rPr>
                <w:rFonts w:hint="eastAsia"/>
                <w:color w:val="000000"/>
              </w:rPr>
              <w:t>3</w:t>
            </w:r>
            <w:r>
              <w:rPr>
                <w:color w:val="000000"/>
              </w:rPr>
              <w:t>年</w:t>
            </w:r>
            <w:r>
              <w:rPr>
                <w:rFonts w:hint="eastAsia"/>
                <w:color w:val="000000"/>
              </w:rPr>
              <w:t>5</w:t>
            </w:r>
            <w:r>
              <w:rPr>
                <w:color w:val="000000"/>
              </w:rPr>
              <w:t>月</w:t>
            </w:r>
            <w:r>
              <w:rPr>
                <w:rFonts w:hint="eastAsia"/>
                <w:color w:val="000000"/>
              </w:rPr>
              <w:t>26</w:t>
            </w:r>
            <w:r>
              <w:rPr>
                <w:color w:val="000000"/>
              </w:rPr>
              <w:t>日</w:t>
            </w:r>
          </w:p>
        </w:tc>
        <w:tc>
          <w:tcPr>
            <w:tcW w:w="400" w:type="pct"/>
            <w:vAlign w:val="center"/>
          </w:tcPr>
          <w:p>
            <w:pPr>
              <w:jc w:val="left"/>
              <w:rPr>
                <w:color w:val="000000"/>
              </w:rPr>
            </w:pPr>
            <w:r>
              <w:rPr>
                <w:color w:val="000000"/>
              </w:rPr>
              <w:t>202</w:t>
            </w:r>
            <w:r>
              <w:rPr>
                <w:rFonts w:hint="eastAsia"/>
                <w:color w:val="000000"/>
              </w:rPr>
              <w:t>4</w:t>
            </w:r>
            <w:r>
              <w:rPr>
                <w:color w:val="000000"/>
              </w:rPr>
              <w:t>年</w:t>
            </w:r>
            <w:r>
              <w:rPr>
                <w:rFonts w:hint="eastAsia"/>
                <w:color w:val="000000"/>
              </w:rPr>
              <w:t>12</w:t>
            </w:r>
            <w:r>
              <w:rPr>
                <w:color w:val="000000"/>
              </w:rPr>
              <w:t>月</w:t>
            </w:r>
            <w:r>
              <w:rPr>
                <w:rFonts w:hint="eastAsia"/>
                <w:color w:val="000000"/>
              </w:rPr>
              <w:t>3</w:t>
            </w:r>
            <w:r>
              <w:rPr>
                <w:color w:val="000000"/>
              </w:rPr>
              <w:t>日</w:t>
            </w:r>
            <w:r>
              <w:rPr>
                <w:rFonts w:hint="eastAsia"/>
                <w:color w:val="000000"/>
              </w:rPr>
              <w:t>起18个月</w:t>
            </w:r>
          </w:p>
        </w:tc>
        <w:tc>
          <w:tcPr>
            <w:tcW w:w="444" w:type="pct"/>
            <w:vAlign w:val="center"/>
          </w:tcPr>
          <w:p>
            <w:pPr>
              <w:jc w:val="left"/>
              <w:rPr>
                <w:color w:val="000000"/>
              </w:rPr>
            </w:pPr>
            <w:r>
              <w:rPr>
                <w:color w:val="000000"/>
              </w:rPr>
              <w:t>正常履行</w:t>
            </w:r>
          </w:p>
        </w:tc>
      </w:tr>
    </w:tbl>
    <w:p>
      <w:pPr>
        <w:spacing w:line="380" w:lineRule="exact"/>
        <w:ind w:firstLine="480" w:firstLineChars="200"/>
        <w:rPr>
          <w:color w:val="000000"/>
          <w:sz w:val="24"/>
          <w:szCs w:val="24"/>
        </w:rPr>
      </w:pPr>
      <w:r>
        <w:rPr>
          <w:color w:val="000000"/>
          <w:sz w:val="24"/>
          <w:szCs w:val="24"/>
        </w:rPr>
        <w:t>（二）承诺履行情况</w:t>
      </w:r>
    </w:p>
    <w:p>
      <w:pPr>
        <w:spacing w:line="380" w:lineRule="exact"/>
        <w:ind w:firstLine="480" w:firstLineChars="200"/>
        <w:rPr>
          <w:color w:val="000000"/>
          <w:sz w:val="24"/>
          <w:szCs w:val="24"/>
        </w:rPr>
      </w:pPr>
      <w:r>
        <w:rPr>
          <w:color w:val="000000"/>
          <w:sz w:val="24"/>
          <w:szCs w:val="24"/>
        </w:rPr>
        <w:t>截至本公告披露日，本次申请解除股份限售的股东严格履行前述承诺，未出现违反承诺的情形。</w:t>
      </w:r>
    </w:p>
    <w:p>
      <w:pPr>
        <w:spacing w:line="380" w:lineRule="exact"/>
        <w:ind w:firstLine="482" w:firstLineChars="200"/>
        <w:rPr>
          <w:bCs/>
          <w:sz w:val="24"/>
          <w:szCs w:val="24"/>
        </w:rPr>
      </w:pPr>
      <w:r>
        <w:rPr>
          <w:rFonts w:hint="eastAsia"/>
          <w:b/>
          <w:sz w:val="24"/>
          <w:szCs w:val="24"/>
        </w:rPr>
        <w:t>四</w:t>
      </w:r>
      <w:r>
        <w:rPr>
          <w:b/>
          <w:sz w:val="24"/>
          <w:szCs w:val="24"/>
        </w:rPr>
        <w:t>、本次申请解除限售股东对公司的非经营性资金占用、公司对该股东违规担保等情况的说明</w:t>
      </w:r>
    </w:p>
    <w:p>
      <w:pPr>
        <w:spacing w:line="380" w:lineRule="exact"/>
        <w:ind w:firstLine="480" w:firstLineChars="200"/>
        <w:rPr>
          <w:bCs/>
          <w:sz w:val="24"/>
          <w:szCs w:val="24"/>
        </w:rPr>
      </w:pPr>
      <w:r>
        <w:rPr>
          <w:bCs/>
          <w:sz w:val="24"/>
          <w:szCs w:val="24"/>
        </w:rPr>
        <w:t>截至本公告披露日，本次申请解除股份限售的股东未发生非经营性占用公司资金的情况，也未发生公司对</w:t>
      </w:r>
      <w:r>
        <w:rPr>
          <w:rFonts w:hint="eastAsia"/>
          <w:bCs/>
          <w:sz w:val="24"/>
          <w:szCs w:val="24"/>
        </w:rPr>
        <w:t>该股东</w:t>
      </w:r>
      <w:r>
        <w:rPr>
          <w:bCs/>
          <w:sz w:val="24"/>
          <w:szCs w:val="24"/>
        </w:rPr>
        <w:t>违规担保</w:t>
      </w:r>
      <w:r>
        <w:rPr>
          <w:rFonts w:hint="eastAsia"/>
          <w:bCs/>
          <w:sz w:val="24"/>
          <w:szCs w:val="24"/>
        </w:rPr>
        <w:t>等损害公司及股东利益</w:t>
      </w:r>
      <w:r>
        <w:rPr>
          <w:bCs/>
          <w:sz w:val="24"/>
          <w:szCs w:val="24"/>
        </w:rPr>
        <w:t>的情况。</w:t>
      </w:r>
    </w:p>
    <w:p>
      <w:pPr>
        <w:spacing w:line="380" w:lineRule="exact"/>
        <w:ind w:firstLine="482" w:firstLineChars="200"/>
        <w:rPr>
          <w:b/>
          <w:sz w:val="24"/>
          <w:szCs w:val="24"/>
        </w:rPr>
      </w:pPr>
      <w:r>
        <w:rPr>
          <w:rFonts w:hint="eastAsia"/>
          <w:b/>
          <w:sz w:val="24"/>
          <w:szCs w:val="24"/>
        </w:rPr>
        <w:t>五</w:t>
      </w:r>
      <w:r>
        <w:rPr>
          <w:b/>
          <w:sz w:val="24"/>
          <w:szCs w:val="24"/>
        </w:rPr>
        <w:t>、本次限售股上市流通情况</w:t>
      </w:r>
    </w:p>
    <w:p>
      <w:pPr>
        <w:spacing w:line="380" w:lineRule="exact"/>
        <w:ind w:firstLine="480" w:firstLineChars="200"/>
        <w:rPr>
          <w:color w:val="000000"/>
          <w:sz w:val="24"/>
          <w:szCs w:val="24"/>
        </w:rPr>
      </w:pPr>
      <w:bookmarkStart w:id="2" w:name="_Hlk198302694"/>
      <w:r>
        <w:rPr>
          <w:sz w:val="24"/>
        </w:rPr>
        <w:t>1</w:t>
      </w:r>
      <w:r>
        <w:rPr>
          <w:rFonts w:hint="eastAsia"/>
          <w:color w:val="000000"/>
          <w:sz w:val="24"/>
          <w:szCs w:val="24"/>
        </w:rPr>
        <w:t xml:space="preserve">. </w:t>
      </w:r>
      <w:r>
        <w:rPr>
          <w:color w:val="000000"/>
          <w:sz w:val="24"/>
          <w:szCs w:val="24"/>
        </w:rPr>
        <w:t>本次解除限售股份的上市流通日期：202</w:t>
      </w:r>
      <w:r>
        <w:rPr>
          <w:rFonts w:hint="eastAsia"/>
          <w:color w:val="000000"/>
          <w:sz w:val="24"/>
          <w:szCs w:val="24"/>
        </w:rPr>
        <w:t>6</w:t>
      </w:r>
      <w:r>
        <w:rPr>
          <w:color w:val="000000"/>
          <w:sz w:val="24"/>
          <w:szCs w:val="24"/>
        </w:rPr>
        <w:t>年6月3日。</w:t>
      </w:r>
    </w:p>
    <w:p>
      <w:pPr>
        <w:spacing w:line="380" w:lineRule="exact"/>
        <w:ind w:firstLine="480" w:firstLineChars="200"/>
        <w:rPr>
          <w:color w:val="000000"/>
          <w:sz w:val="24"/>
          <w:szCs w:val="24"/>
        </w:rPr>
      </w:pPr>
      <w:r>
        <w:rPr>
          <w:color w:val="000000"/>
          <w:sz w:val="24"/>
          <w:szCs w:val="24"/>
        </w:rPr>
        <w:t>2</w:t>
      </w:r>
      <w:r>
        <w:rPr>
          <w:rFonts w:hint="eastAsia"/>
          <w:color w:val="000000"/>
          <w:sz w:val="24"/>
          <w:szCs w:val="24"/>
        </w:rPr>
        <w:t xml:space="preserve">. </w:t>
      </w:r>
      <w:r>
        <w:rPr>
          <w:rFonts w:hint="eastAsia"/>
          <w:sz w:val="24"/>
        </w:rPr>
        <w:t>本次解除限售股份的上市流通数量为</w:t>
      </w:r>
      <w:r>
        <w:rPr>
          <w:sz w:val="24"/>
        </w:rPr>
        <w:t>219,512,196</w:t>
      </w:r>
      <w:r>
        <w:rPr>
          <w:rFonts w:hint="eastAsia"/>
          <w:sz w:val="24"/>
        </w:rPr>
        <w:t>股，</w:t>
      </w:r>
      <w:r>
        <w:rPr>
          <w:sz w:val="24"/>
        </w:rPr>
        <w:t>占公司总股本3,481,035,016股的6.3</w:t>
      </w:r>
      <w:r>
        <w:rPr>
          <w:rFonts w:hint="eastAsia"/>
          <w:sz w:val="24"/>
          <w:lang w:val="en-US" w:eastAsia="zh-CN"/>
        </w:rPr>
        <w:t>059</w:t>
      </w:r>
      <w:r>
        <w:rPr>
          <w:sz w:val="24"/>
        </w:rPr>
        <w:t>%</w:t>
      </w:r>
      <w:r>
        <w:rPr>
          <w:rFonts w:hint="eastAsia"/>
          <w:color w:val="000000"/>
          <w:sz w:val="24"/>
          <w:szCs w:val="24"/>
        </w:rPr>
        <w:t>，</w:t>
      </w:r>
      <w:r>
        <w:rPr>
          <w:rFonts w:hint="eastAsia"/>
          <w:sz w:val="24"/>
        </w:rPr>
        <w:t>占本次解除限售前</w:t>
      </w:r>
      <w:r>
        <w:rPr>
          <w:rFonts w:hint="eastAsia"/>
          <w:color w:val="000000"/>
          <w:sz w:val="24"/>
          <w:szCs w:val="24"/>
        </w:rPr>
        <w:t>公司无限售条件股份的6.73</w:t>
      </w:r>
      <w:r>
        <w:rPr>
          <w:rFonts w:hint="eastAsia"/>
          <w:color w:val="000000"/>
          <w:sz w:val="24"/>
          <w:szCs w:val="24"/>
          <w:lang w:val="en-US" w:eastAsia="zh-CN"/>
        </w:rPr>
        <w:t>04</w:t>
      </w:r>
      <w:r>
        <w:rPr>
          <w:rFonts w:hint="eastAsia"/>
          <w:color w:val="000000"/>
          <w:sz w:val="24"/>
          <w:szCs w:val="24"/>
        </w:rPr>
        <w:t>%，占本次</w:t>
      </w:r>
      <w:r>
        <w:rPr>
          <w:rFonts w:hint="eastAsia"/>
          <w:sz w:val="24"/>
        </w:rPr>
        <w:t>解除限售</w:t>
      </w:r>
      <w:r>
        <w:rPr>
          <w:rFonts w:hint="eastAsia"/>
          <w:color w:val="000000"/>
          <w:sz w:val="24"/>
          <w:szCs w:val="24"/>
        </w:rPr>
        <w:t>后公司无限售条件股份的</w:t>
      </w:r>
      <w:r>
        <w:rPr>
          <w:sz w:val="24"/>
        </w:rPr>
        <w:t>6.3</w:t>
      </w:r>
      <w:r>
        <w:rPr>
          <w:rFonts w:hint="eastAsia"/>
          <w:sz w:val="24"/>
          <w:lang w:val="en-US" w:eastAsia="zh-CN"/>
        </w:rPr>
        <w:t>059</w:t>
      </w:r>
      <w:r>
        <w:rPr>
          <w:rFonts w:hint="eastAsia"/>
          <w:color w:val="000000"/>
          <w:sz w:val="24"/>
          <w:szCs w:val="24"/>
        </w:rPr>
        <w:t>%。</w:t>
      </w:r>
    </w:p>
    <w:p>
      <w:pPr>
        <w:spacing w:line="380" w:lineRule="exact"/>
        <w:ind w:firstLine="480" w:firstLineChars="200"/>
        <w:rPr>
          <w:color w:val="000000"/>
          <w:sz w:val="24"/>
          <w:szCs w:val="24"/>
        </w:rPr>
      </w:pPr>
      <w:r>
        <w:rPr>
          <w:color w:val="000000"/>
          <w:sz w:val="24"/>
          <w:szCs w:val="24"/>
        </w:rPr>
        <w:t>3</w:t>
      </w:r>
      <w:r>
        <w:rPr>
          <w:rFonts w:hint="eastAsia"/>
          <w:color w:val="000000"/>
          <w:sz w:val="24"/>
          <w:szCs w:val="24"/>
        </w:rPr>
        <w:t xml:space="preserve">. </w:t>
      </w:r>
      <w:r>
        <w:rPr>
          <w:color w:val="000000"/>
          <w:sz w:val="24"/>
          <w:szCs w:val="24"/>
        </w:rPr>
        <w:t>本次申请解除股份限售的股东共1名。</w:t>
      </w:r>
    </w:p>
    <w:p>
      <w:pPr>
        <w:spacing w:line="380" w:lineRule="exact"/>
        <w:ind w:firstLine="480" w:firstLineChars="200"/>
        <w:rPr>
          <w:color w:val="000000"/>
          <w:sz w:val="24"/>
          <w:szCs w:val="24"/>
        </w:rPr>
      </w:pPr>
      <w:r>
        <w:rPr>
          <w:color w:val="000000"/>
          <w:sz w:val="24"/>
          <w:szCs w:val="24"/>
        </w:rPr>
        <w:t>4</w:t>
      </w:r>
      <w:r>
        <w:rPr>
          <w:rFonts w:hint="eastAsia"/>
          <w:color w:val="000000"/>
          <w:sz w:val="24"/>
          <w:szCs w:val="24"/>
        </w:rPr>
        <w:t xml:space="preserve">. </w:t>
      </w:r>
      <w:r>
        <w:rPr>
          <w:color w:val="000000"/>
          <w:sz w:val="24"/>
          <w:szCs w:val="24"/>
        </w:rPr>
        <w:t>本次股份解除限售及上市流通具体情况如下：</w:t>
      </w:r>
    </w:p>
    <w:bookmarkEnd w:id="2"/>
    <w:tbl>
      <w:tblPr>
        <w:tblStyle w:val="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98"/>
        <w:gridCol w:w="3378"/>
        <w:gridCol w:w="1635"/>
        <w:gridCol w:w="1710"/>
        <w:gridCol w:w="1301"/>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1163" w:hRule="atLeast"/>
          <w:tblHeader/>
          <w:jc w:val="center"/>
        </w:trPr>
        <w:tc>
          <w:tcPr>
            <w:tcW w:w="292" w:type="pct"/>
            <w:tcBorders>
              <w:top w:val="single" w:color="010000" w:sz="12" w:space="0"/>
              <w:bottom w:val="single" w:color="010000" w:sz="4" w:space="0"/>
            </w:tcBorders>
            <w:vAlign w:val="center"/>
          </w:tcPr>
          <w:p>
            <w:pPr>
              <w:keepNext/>
              <w:jc w:val="center"/>
              <w:rPr>
                <w:b/>
                <w:color w:val="000000"/>
              </w:rPr>
            </w:pPr>
            <w:r>
              <w:rPr>
                <w:b/>
                <w:color w:val="000000"/>
              </w:rPr>
              <w:t>序号</w:t>
            </w:r>
          </w:p>
        </w:tc>
        <w:tc>
          <w:tcPr>
            <w:tcW w:w="1980" w:type="pct"/>
            <w:tcBorders>
              <w:top w:val="single" w:color="010000" w:sz="12" w:space="0"/>
              <w:bottom w:val="single" w:color="010000" w:sz="4" w:space="0"/>
            </w:tcBorders>
            <w:vAlign w:val="center"/>
          </w:tcPr>
          <w:p>
            <w:pPr>
              <w:keepNext/>
              <w:jc w:val="center"/>
              <w:rPr>
                <w:b/>
                <w:color w:val="000000"/>
              </w:rPr>
            </w:pPr>
            <w:r>
              <w:rPr>
                <w:b/>
                <w:color w:val="000000"/>
              </w:rPr>
              <w:t>发行对象</w:t>
            </w:r>
          </w:p>
        </w:tc>
        <w:tc>
          <w:tcPr>
            <w:tcW w:w="959" w:type="pct"/>
            <w:tcBorders>
              <w:top w:val="single" w:color="010000" w:sz="12" w:space="0"/>
              <w:bottom w:val="single" w:color="010000" w:sz="4" w:space="0"/>
            </w:tcBorders>
            <w:vAlign w:val="center"/>
          </w:tcPr>
          <w:p>
            <w:pPr>
              <w:keepNext/>
              <w:jc w:val="center"/>
              <w:rPr>
                <w:b/>
                <w:color w:val="000000"/>
              </w:rPr>
            </w:pPr>
            <w:r>
              <w:rPr>
                <w:b/>
                <w:color w:val="000000"/>
              </w:rPr>
              <w:t>持有限售股份总数（股）</w:t>
            </w:r>
          </w:p>
        </w:tc>
        <w:tc>
          <w:tcPr>
            <w:tcW w:w="1003" w:type="pct"/>
            <w:tcBorders>
              <w:top w:val="single" w:color="010000" w:sz="12" w:space="0"/>
              <w:bottom w:val="single" w:color="010000" w:sz="4" w:space="0"/>
            </w:tcBorders>
            <w:vAlign w:val="center"/>
          </w:tcPr>
          <w:p>
            <w:pPr>
              <w:keepNext/>
              <w:jc w:val="center"/>
              <w:rPr>
                <w:b/>
                <w:color w:val="000000"/>
              </w:rPr>
            </w:pPr>
            <w:r>
              <w:rPr>
                <w:b/>
                <w:color w:val="000000"/>
              </w:rPr>
              <w:t>本次解除限售股份数量（股）</w:t>
            </w:r>
          </w:p>
        </w:tc>
        <w:tc>
          <w:tcPr>
            <w:tcW w:w="763" w:type="pct"/>
            <w:tcBorders>
              <w:top w:val="single" w:color="010000" w:sz="12" w:space="0"/>
              <w:bottom w:val="single" w:color="010000" w:sz="4" w:space="0"/>
            </w:tcBorders>
            <w:vAlign w:val="center"/>
          </w:tcPr>
          <w:p>
            <w:pPr>
              <w:keepNext/>
              <w:jc w:val="center"/>
              <w:rPr>
                <w:b/>
                <w:color w:val="000000"/>
              </w:rPr>
            </w:pPr>
            <w:r>
              <w:rPr>
                <w:b/>
                <w:color w:val="000000"/>
              </w:rPr>
              <w:t>本次解除限售股份数量占公司总股本的比例</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292" w:type="pct"/>
            <w:tcBorders>
              <w:top w:val="single" w:color="010000" w:sz="4" w:space="0"/>
            </w:tcBorders>
            <w:vAlign w:val="center"/>
          </w:tcPr>
          <w:p>
            <w:pPr>
              <w:jc w:val="right"/>
              <w:rPr>
                <w:color w:val="000000"/>
              </w:rPr>
            </w:pPr>
            <w:r>
              <w:rPr>
                <w:color w:val="000000"/>
              </w:rPr>
              <w:t>1</w:t>
            </w:r>
          </w:p>
        </w:tc>
        <w:tc>
          <w:tcPr>
            <w:tcW w:w="1980" w:type="pct"/>
            <w:tcBorders>
              <w:top w:val="single" w:color="010000" w:sz="4" w:space="0"/>
            </w:tcBorders>
            <w:vAlign w:val="center"/>
          </w:tcPr>
          <w:p>
            <w:pPr>
              <w:jc w:val="left"/>
              <w:rPr>
                <w:color w:val="000000"/>
              </w:rPr>
            </w:pPr>
            <w:r>
              <w:rPr>
                <w:color w:val="000000"/>
                <w:szCs w:val="21"/>
              </w:rPr>
              <w:t>国家能源投资集团有限责任公司</w:t>
            </w:r>
          </w:p>
        </w:tc>
        <w:tc>
          <w:tcPr>
            <w:tcW w:w="959" w:type="pct"/>
            <w:tcBorders>
              <w:top w:val="single" w:color="010000" w:sz="4" w:space="0"/>
            </w:tcBorders>
            <w:vAlign w:val="center"/>
          </w:tcPr>
          <w:p>
            <w:pPr>
              <w:jc w:val="right"/>
              <w:rPr>
                <w:color w:val="000000"/>
              </w:rPr>
            </w:pPr>
            <w:r>
              <w:rPr>
                <w:color w:val="000000"/>
                <w:szCs w:val="21"/>
              </w:rPr>
              <w:t>219,512,196</w:t>
            </w:r>
          </w:p>
        </w:tc>
        <w:tc>
          <w:tcPr>
            <w:tcW w:w="1003" w:type="pct"/>
            <w:tcBorders>
              <w:top w:val="single" w:color="010000" w:sz="4" w:space="0"/>
            </w:tcBorders>
            <w:vAlign w:val="center"/>
          </w:tcPr>
          <w:p>
            <w:pPr>
              <w:jc w:val="right"/>
              <w:rPr>
                <w:color w:val="000000"/>
              </w:rPr>
            </w:pPr>
            <w:r>
              <w:rPr>
                <w:color w:val="000000"/>
                <w:szCs w:val="21"/>
              </w:rPr>
              <w:t>219,512,196</w:t>
            </w:r>
          </w:p>
        </w:tc>
        <w:tc>
          <w:tcPr>
            <w:tcW w:w="763" w:type="pct"/>
            <w:tcBorders>
              <w:top w:val="single" w:color="010000" w:sz="4" w:space="0"/>
            </w:tcBorders>
            <w:vAlign w:val="center"/>
          </w:tcPr>
          <w:p>
            <w:pPr>
              <w:jc w:val="right"/>
              <w:rPr>
                <w:color w:val="000000"/>
              </w:rPr>
            </w:pPr>
            <w:r>
              <w:rPr>
                <w:sz w:val="24"/>
              </w:rPr>
              <w:t>6.3</w:t>
            </w:r>
            <w:r>
              <w:rPr>
                <w:rFonts w:hint="eastAsia"/>
                <w:sz w:val="24"/>
                <w:lang w:val="en-US" w:eastAsia="zh-CN"/>
              </w:rPr>
              <w:t>059</w:t>
            </w:r>
            <w:r>
              <w:rPr>
                <w:rFonts w:hint="eastAsia"/>
                <w:color w:val="000000"/>
                <w:szCs w:val="21"/>
              </w:rPr>
              <w:t>%</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2273" w:type="pct"/>
            <w:gridSpan w:val="2"/>
            <w:vAlign w:val="center"/>
          </w:tcPr>
          <w:p>
            <w:pPr>
              <w:jc w:val="center"/>
              <w:rPr>
                <w:b/>
                <w:color w:val="000000"/>
              </w:rPr>
            </w:pPr>
            <w:r>
              <w:rPr>
                <w:b/>
                <w:color w:val="000000"/>
              </w:rPr>
              <w:t>合计</w:t>
            </w:r>
          </w:p>
        </w:tc>
        <w:tc>
          <w:tcPr>
            <w:tcW w:w="1635" w:type="dxa"/>
            <w:vAlign w:val="center"/>
          </w:tcPr>
          <w:p>
            <w:pPr>
              <w:jc w:val="right"/>
              <w:rPr>
                <w:b/>
                <w:color w:val="000000"/>
              </w:rPr>
            </w:pPr>
            <w:r>
              <w:rPr>
                <w:color w:val="000000"/>
                <w:szCs w:val="21"/>
              </w:rPr>
              <w:t>219,512,196</w:t>
            </w:r>
          </w:p>
        </w:tc>
        <w:tc>
          <w:tcPr>
            <w:tcW w:w="1710" w:type="dxa"/>
            <w:vAlign w:val="center"/>
          </w:tcPr>
          <w:p>
            <w:pPr>
              <w:jc w:val="right"/>
              <w:rPr>
                <w:b/>
                <w:color w:val="000000"/>
              </w:rPr>
            </w:pPr>
            <w:r>
              <w:rPr>
                <w:color w:val="000000"/>
                <w:szCs w:val="21"/>
              </w:rPr>
              <w:t>219,512,196</w:t>
            </w:r>
          </w:p>
        </w:tc>
        <w:tc>
          <w:tcPr>
            <w:tcW w:w="1301" w:type="dxa"/>
            <w:vAlign w:val="center"/>
          </w:tcPr>
          <w:p>
            <w:pPr>
              <w:jc w:val="right"/>
              <w:rPr>
                <w:b/>
                <w:color w:val="000000"/>
              </w:rPr>
            </w:pPr>
            <w:r>
              <w:rPr>
                <w:sz w:val="24"/>
              </w:rPr>
              <w:t>6.3</w:t>
            </w:r>
            <w:r>
              <w:rPr>
                <w:rFonts w:hint="eastAsia"/>
                <w:sz w:val="24"/>
                <w:lang w:val="en-US" w:eastAsia="zh-CN"/>
              </w:rPr>
              <w:t>059</w:t>
            </w:r>
            <w:r>
              <w:rPr>
                <w:rFonts w:hint="eastAsia"/>
                <w:color w:val="000000"/>
                <w:szCs w:val="21"/>
              </w:rPr>
              <w:t>%</w:t>
            </w:r>
          </w:p>
        </w:tc>
      </w:tr>
    </w:tbl>
    <w:p>
      <w:pPr>
        <w:ind w:firstLine="482" w:firstLineChars="200"/>
        <w:rPr>
          <w:b/>
          <w:sz w:val="24"/>
          <w:szCs w:val="24"/>
        </w:rPr>
      </w:pPr>
    </w:p>
    <w:p>
      <w:pPr>
        <w:ind w:firstLine="482" w:firstLineChars="200"/>
        <w:rPr>
          <w:b/>
          <w:sz w:val="24"/>
          <w:szCs w:val="24"/>
        </w:rPr>
      </w:pPr>
      <w:r>
        <w:rPr>
          <w:rFonts w:hint="eastAsia"/>
          <w:b/>
          <w:sz w:val="24"/>
          <w:szCs w:val="24"/>
        </w:rPr>
        <w:t>六</w:t>
      </w:r>
      <w:r>
        <w:rPr>
          <w:b/>
          <w:sz w:val="24"/>
          <w:szCs w:val="24"/>
        </w:rPr>
        <w:t>、本次可解除限售股票上市流通前后的股本结构变化</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432"/>
        <w:gridCol w:w="1074"/>
        <w:gridCol w:w="1416"/>
        <w:gridCol w:w="1596"/>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pPr>
              <w:jc w:val="center"/>
              <w:rPr>
                <w:b/>
                <w:bCs/>
                <w:szCs w:val="21"/>
              </w:rPr>
            </w:pPr>
            <w:r>
              <w:rPr>
                <w:b/>
                <w:bCs/>
                <w:szCs w:val="21"/>
              </w:rPr>
              <w:t>股份类型</w:t>
            </w:r>
          </w:p>
        </w:tc>
        <w:tc>
          <w:tcPr>
            <w:tcW w:w="2453" w:type="dxa"/>
            <w:gridSpan w:val="2"/>
            <w:vAlign w:val="center"/>
          </w:tcPr>
          <w:p>
            <w:pPr>
              <w:jc w:val="center"/>
              <w:rPr>
                <w:b/>
                <w:bCs/>
                <w:szCs w:val="21"/>
              </w:rPr>
            </w:pPr>
            <w:r>
              <w:rPr>
                <w:b/>
                <w:bCs/>
                <w:szCs w:val="21"/>
              </w:rPr>
              <w:t>本次变动前</w:t>
            </w:r>
          </w:p>
        </w:tc>
        <w:tc>
          <w:tcPr>
            <w:tcW w:w="1416" w:type="dxa"/>
            <w:vMerge w:val="restart"/>
            <w:vAlign w:val="center"/>
          </w:tcPr>
          <w:p>
            <w:pPr>
              <w:jc w:val="center"/>
              <w:rPr>
                <w:b/>
                <w:bCs/>
                <w:szCs w:val="21"/>
              </w:rPr>
            </w:pPr>
            <w:r>
              <w:rPr>
                <w:b/>
                <w:bCs/>
                <w:szCs w:val="21"/>
              </w:rPr>
              <w:t>本次变动（股）</w:t>
            </w:r>
          </w:p>
        </w:tc>
        <w:tc>
          <w:tcPr>
            <w:tcW w:w="2618" w:type="dxa"/>
            <w:gridSpan w:val="2"/>
            <w:vAlign w:val="center"/>
          </w:tcPr>
          <w:p>
            <w:pPr>
              <w:jc w:val="center"/>
              <w:rPr>
                <w:b/>
                <w:bCs/>
                <w:szCs w:val="21"/>
              </w:rPr>
            </w:pPr>
            <w:r>
              <w:rPr>
                <w:b/>
                <w:bCs/>
                <w:szCs w:val="21"/>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pPr>
              <w:jc w:val="center"/>
              <w:rPr>
                <w:b/>
                <w:bCs/>
                <w:szCs w:val="21"/>
              </w:rPr>
            </w:pPr>
          </w:p>
        </w:tc>
        <w:tc>
          <w:tcPr>
            <w:tcW w:w="1432" w:type="dxa"/>
            <w:vAlign w:val="center"/>
          </w:tcPr>
          <w:p>
            <w:pPr>
              <w:jc w:val="center"/>
              <w:rPr>
                <w:b/>
                <w:bCs/>
                <w:szCs w:val="21"/>
              </w:rPr>
            </w:pPr>
            <w:r>
              <w:rPr>
                <w:b/>
                <w:bCs/>
                <w:szCs w:val="21"/>
              </w:rPr>
              <w:t>数量（股）</w:t>
            </w:r>
          </w:p>
        </w:tc>
        <w:tc>
          <w:tcPr>
            <w:tcW w:w="1021" w:type="dxa"/>
            <w:vAlign w:val="center"/>
          </w:tcPr>
          <w:p>
            <w:pPr>
              <w:jc w:val="center"/>
              <w:rPr>
                <w:b/>
                <w:bCs/>
                <w:szCs w:val="21"/>
              </w:rPr>
            </w:pPr>
            <w:r>
              <w:rPr>
                <w:b/>
                <w:bCs/>
                <w:szCs w:val="21"/>
              </w:rPr>
              <w:t>比例</w:t>
            </w:r>
          </w:p>
        </w:tc>
        <w:tc>
          <w:tcPr>
            <w:tcW w:w="1416" w:type="dxa"/>
            <w:vMerge w:val="continue"/>
            <w:vAlign w:val="center"/>
          </w:tcPr>
          <w:p>
            <w:pPr>
              <w:jc w:val="center"/>
              <w:rPr>
                <w:b/>
                <w:bCs/>
                <w:szCs w:val="21"/>
              </w:rPr>
            </w:pPr>
          </w:p>
        </w:tc>
        <w:tc>
          <w:tcPr>
            <w:tcW w:w="1596" w:type="dxa"/>
            <w:vAlign w:val="center"/>
          </w:tcPr>
          <w:p>
            <w:pPr>
              <w:jc w:val="center"/>
              <w:rPr>
                <w:b/>
                <w:bCs/>
                <w:szCs w:val="21"/>
              </w:rPr>
            </w:pPr>
            <w:r>
              <w:rPr>
                <w:b/>
                <w:bCs/>
                <w:szCs w:val="21"/>
              </w:rPr>
              <w:t>数量（股）</w:t>
            </w:r>
          </w:p>
        </w:tc>
        <w:tc>
          <w:tcPr>
            <w:tcW w:w="1022" w:type="dxa"/>
            <w:vAlign w:val="center"/>
          </w:tcPr>
          <w:p>
            <w:pPr>
              <w:jc w:val="center"/>
              <w:rPr>
                <w:b/>
                <w:bCs/>
                <w:szCs w:val="21"/>
              </w:rPr>
            </w:pPr>
            <w:r>
              <w:rPr>
                <w:b/>
                <w:bCs/>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09" w:type="dxa"/>
            <w:vAlign w:val="center"/>
          </w:tcPr>
          <w:p>
            <w:pPr>
              <w:jc w:val="center"/>
              <w:rPr>
                <w:szCs w:val="21"/>
              </w:rPr>
            </w:pPr>
            <w:r>
              <w:rPr>
                <w:szCs w:val="21"/>
              </w:rPr>
              <w:t>有限售条件股份</w:t>
            </w:r>
          </w:p>
        </w:tc>
        <w:tc>
          <w:tcPr>
            <w:tcW w:w="1432" w:type="dxa"/>
            <w:vAlign w:val="center"/>
          </w:tcPr>
          <w:p>
            <w:pPr>
              <w:jc w:val="right"/>
              <w:rPr>
                <w:szCs w:val="21"/>
              </w:rPr>
            </w:pPr>
            <w:r>
              <w:rPr>
                <w:rFonts w:eastAsia="等线"/>
                <w:color w:val="000000"/>
                <w:szCs w:val="21"/>
              </w:rPr>
              <w:t>219,512,196</w:t>
            </w:r>
          </w:p>
        </w:tc>
        <w:tc>
          <w:tcPr>
            <w:tcW w:w="1021" w:type="dxa"/>
            <w:vAlign w:val="center"/>
          </w:tcPr>
          <w:p>
            <w:pPr>
              <w:jc w:val="right"/>
              <w:rPr>
                <w:szCs w:val="21"/>
              </w:rPr>
            </w:pPr>
            <w:r>
              <w:rPr>
                <w:rFonts w:eastAsia="等线"/>
                <w:color w:val="000000"/>
                <w:sz w:val="21"/>
                <w:szCs w:val="21"/>
              </w:rPr>
              <w:t>6.3</w:t>
            </w:r>
            <w:r>
              <w:rPr>
                <w:rFonts w:hint="default" w:eastAsia="等线"/>
                <w:color w:val="000000"/>
                <w:sz w:val="21"/>
                <w:szCs w:val="21"/>
                <w:lang w:val="en-US" w:eastAsia="zh-CN"/>
              </w:rPr>
              <w:t>059</w:t>
            </w:r>
            <w:r>
              <w:rPr>
                <w:rFonts w:eastAsia="等线"/>
                <w:color w:val="000000"/>
                <w:szCs w:val="21"/>
              </w:rPr>
              <w:t>%</w:t>
            </w:r>
          </w:p>
        </w:tc>
        <w:tc>
          <w:tcPr>
            <w:tcW w:w="1416" w:type="dxa"/>
            <w:vAlign w:val="center"/>
          </w:tcPr>
          <w:p>
            <w:pPr>
              <w:jc w:val="right"/>
              <w:rPr>
                <w:szCs w:val="21"/>
              </w:rPr>
            </w:pPr>
            <w:r>
              <w:rPr>
                <w:rFonts w:eastAsia="等线"/>
                <w:color w:val="000000"/>
                <w:szCs w:val="21"/>
              </w:rPr>
              <w:t>-219,512,196</w:t>
            </w:r>
          </w:p>
        </w:tc>
        <w:tc>
          <w:tcPr>
            <w:tcW w:w="1596" w:type="dxa"/>
            <w:vAlign w:val="center"/>
          </w:tcPr>
          <w:p>
            <w:pPr>
              <w:jc w:val="right"/>
              <w:rPr>
                <w:szCs w:val="21"/>
              </w:rPr>
            </w:pPr>
            <w:r>
              <w:rPr>
                <w:rFonts w:eastAsia="等线"/>
                <w:color w:val="000000"/>
                <w:szCs w:val="21"/>
              </w:rPr>
              <w:t>-</w:t>
            </w:r>
          </w:p>
        </w:tc>
        <w:tc>
          <w:tcPr>
            <w:tcW w:w="1022" w:type="dxa"/>
            <w:vAlign w:val="center"/>
          </w:tcPr>
          <w:p>
            <w:pPr>
              <w:jc w:val="right"/>
              <w:rPr>
                <w:szCs w:val="21"/>
              </w:rPr>
            </w:pPr>
            <w:r>
              <w:rPr>
                <w:rFonts w:eastAsia="等线"/>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09" w:type="dxa"/>
          </w:tcPr>
          <w:p>
            <w:pPr>
              <w:jc w:val="center"/>
              <w:rPr>
                <w:szCs w:val="21"/>
              </w:rPr>
            </w:pPr>
            <w:r>
              <w:rPr>
                <w:szCs w:val="21"/>
              </w:rPr>
              <w:t>无限售条件股份</w:t>
            </w:r>
          </w:p>
        </w:tc>
        <w:tc>
          <w:tcPr>
            <w:tcW w:w="1432" w:type="dxa"/>
            <w:vAlign w:val="center"/>
          </w:tcPr>
          <w:p>
            <w:pPr>
              <w:jc w:val="right"/>
              <w:rPr>
                <w:szCs w:val="21"/>
              </w:rPr>
            </w:pPr>
            <w:r>
              <w:rPr>
                <w:rFonts w:eastAsia="等线"/>
                <w:color w:val="000000"/>
                <w:szCs w:val="21"/>
              </w:rPr>
              <w:t>3,261,522,820</w:t>
            </w:r>
          </w:p>
        </w:tc>
        <w:tc>
          <w:tcPr>
            <w:tcW w:w="1021" w:type="dxa"/>
            <w:vAlign w:val="center"/>
          </w:tcPr>
          <w:p>
            <w:pPr>
              <w:jc w:val="right"/>
              <w:rPr>
                <w:szCs w:val="21"/>
              </w:rPr>
            </w:pPr>
            <w:r>
              <w:rPr>
                <w:rFonts w:eastAsia="等线"/>
                <w:color w:val="000000"/>
                <w:szCs w:val="21"/>
              </w:rPr>
              <w:t>93.69</w:t>
            </w:r>
            <w:r>
              <w:rPr>
                <w:rFonts w:hint="eastAsia" w:eastAsia="等线"/>
                <w:color w:val="000000"/>
                <w:szCs w:val="21"/>
                <w:lang w:val="en-US" w:eastAsia="zh-CN"/>
              </w:rPr>
              <w:t>41</w:t>
            </w:r>
            <w:r>
              <w:rPr>
                <w:rFonts w:eastAsia="等线"/>
                <w:color w:val="000000"/>
                <w:szCs w:val="21"/>
              </w:rPr>
              <w:t>%</w:t>
            </w:r>
          </w:p>
        </w:tc>
        <w:tc>
          <w:tcPr>
            <w:tcW w:w="1416" w:type="dxa"/>
            <w:vAlign w:val="center"/>
          </w:tcPr>
          <w:p>
            <w:pPr>
              <w:jc w:val="right"/>
              <w:rPr>
                <w:szCs w:val="21"/>
              </w:rPr>
            </w:pPr>
            <w:r>
              <w:rPr>
                <w:rFonts w:eastAsia="等线"/>
                <w:color w:val="000000"/>
                <w:szCs w:val="21"/>
              </w:rPr>
              <w:t>219,512,196</w:t>
            </w:r>
          </w:p>
        </w:tc>
        <w:tc>
          <w:tcPr>
            <w:tcW w:w="1596" w:type="dxa"/>
            <w:vAlign w:val="center"/>
          </w:tcPr>
          <w:p>
            <w:pPr>
              <w:jc w:val="right"/>
              <w:rPr>
                <w:szCs w:val="21"/>
              </w:rPr>
            </w:pPr>
            <w:r>
              <w:rPr>
                <w:rFonts w:eastAsia="等线"/>
                <w:color w:val="000000"/>
                <w:szCs w:val="21"/>
              </w:rPr>
              <w:t>3,481,035,016</w:t>
            </w:r>
          </w:p>
        </w:tc>
        <w:tc>
          <w:tcPr>
            <w:tcW w:w="1022" w:type="dxa"/>
            <w:vAlign w:val="center"/>
          </w:tcPr>
          <w:p>
            <w:pPr>
              <w:jc w:val="right"/>
              <w:rPr>
                <w:szCs w:val="21"/>
              </w:rPr>
            </w:pPr>
            <w:r>
              <w:rPr>
                <w:rFonts w:eastAsia="等线"/>
                <w:color w:val="00000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809" w:type="dxa"/>
          </w:tcPr>
          <w:p>
            <w:pPr>
              <w:jc w:val="center"/>
              <w:rPr>
                <w:b/>
                <w:bCs/>
                <w:szCs w:val="21"/>
              </w:rPr>
            </w:pPr>
            <w:r>
              <w:rPr>
                <w:b/>
                <w:bCs/>
                <w:szCs w:val="21"/>
              </w:rPr>
              <w:t>合计</w:t>
            </w:r>
          </w:p>
        </w:tc>
        <w:tc>
          <w:tcPr>
            <w:tcW w:w="1432" w:type="dxa"/>
            <w:vAlign w:val="center"/>
          </w:tcPr>
          <w:p>
            <w:pPr>
              <w:jc w:val="right"/>
              <w:rPr>
                <w:b/>
                <w:bCs/>
                <w:szCs w:val="21"/>
              </w:rPr>
            </w:pPr>
            <w:r>
              <w:rPr>
                <w:rFonts w:eastAsia="等线"/>
                <w:b/>
                <w:bCs/>
                <w:color w:val="000000"/>
                <w:szCs w:val="21"/>
              </w:rPr>
              <w:t>3,481,035,016</w:t>
            </w:r>
          </w:p>
        </w:tc>
        <w:tc>
          <w:tcPr>
            <w:tcW w:w="1021" w:type="dxa"/>
            <w:vAlign w:val="center"/>
          </w:tcPr>
          <w:p>
            <w:pPr>
              <w:jc w:val="right"/>
              <w:rPr>
                <w:b/>
                <w:bCs/>
                <w:szCs w:val="21"/>
              </w:rPr>
            </w:pPr>
            <w:r>
              <w:rPr>
                <w:rFonts w:eastAsia="等线"/>
                <w:b/>
                <w:bCs/>
                <w:color w:val="000000"/>
                <w:szCs w:val="21"/>
              </w:rPr>
              <w:t>100.00%</w:t>
            </w:r>
          </w:p>
        </w:tc>
        <w:tc>
          <w:tcPr>
            <w:tcW w:w="1416" w:type="dxa"/>
            <w:vAlign w:val="center"/>
          </w:tcPr>
          <w:p>
            <w:pPr>
              <w:jc w:val="right"/>
              <w:rPr>
                <w:b/>
                <w:bCs/>
                <w:szCs w:val="21"/>
              </w:rPr>
            </w:pPr>
            <w:r>
              <w:rPr>
                <w:rFonts w:hint="eastAsia" w:ascii="等线" w:hAnsi="等线" w:eastAsia="等线"/>
                <w:b/>
                <w:bCs/>
                <w:color w:val="000000"/>
                <w:szCs w:val="21"/>
              </w:rPr>
              <w:t>-</w:t>
            </w:r>
          </w:p>
        </w:tc>
        <w:tc>
          <w:tcPr>
            <w:tcW w:w="1596" w:type="dxa"/>
            <w:vAlign w:val="center"/>
          </w:tcPr>
          <w:p>
            <w:pPr>
              <w:jc w:val="right"/>
              <w:rPr>
                <w:b/>
                <w:bCs/>
                <w:szCs w:val="21"/>
              </w:rPr>
            </w:pPr>
            <w:r>
              <w:rPr>
                <w:rFonts w:eastAsia="等线"/>
                <w:b/>
                <w:bCs/>
                <w:color w:val="000000"/>
                <w:szCs w:val="21"/>
              </w:rPr>
              <w:t>3,481,035,016</w:t>
            </w:r>
          </w:p>
        </w:tc>
        <w:tc>
          <w:tcPr>
            <w:tcW w:w="1022" w:type="dxa"/>
            <w:vAlign w:val="center"/>
          </w:tcPr>
          <w:p>
            <w:pPr>
              <w:jc w:val="right"/>
              <w:rPr>
                <w:b/>
                <w:bCs/>
                <w:szCs w:val="21"/>
              </w:rPr>
            </w:pPr>
            <w:r>
              <w:rPr>
                <w:rFonts w:eastAsia="等线"/>
                <w:b/>
                <w:bCs/>
                <w:color w:val="000000"/>
                <w:szCs w:val="21"/>
              </w:rPr>
              <w:t>100.00%</w:t>
            </w:r>
          </w:p>
        </w:tc>
      </w:tr>
    </w:tbl>
    <w:p>
      <w:pPr>
        <w:spacing w:line="380" w:lineRule="exact"/>
        <w:ind w:firstLine="482" w:firstLineChars="200"/>
        <w:rPr>
          <w:b/>
          <w:sz w:val="24"/>
          <w:szCs w:val="24"/>
        </w:rPr>
      </w:pPr>
      <w:r>
        <w:rPr>
          <w:rFonts w:hint="eastAsia"/>
          <w:b/>
          <w:sz w:val="24"/>
          <w:szCs w:val="24"/>
        </w:rPr>
        <w:t>七</w:t>
      </w:r>
      <w:r>
        <w:rPr>
          <w:b/>
          <w:sz w:val="24"/>
          <w:szCs w:val="24"/>
        </w:rPr>
        <w:t>、保荐机构核查意见</w:t>
      </w:r>
    </w:p>
    <w:p>
      <w:pPr>
        <w:spacing w:line="380" w:lineRule="exact"/>
        <w:ind w:firstLine="480" w:firstLineChars="200"/>
        <w:rPr>
          <w:color w:val="000000"/>
          <w:sz w:val="24"/>
          <w:szCs w:val="24"/>
        </w:rPr>
      </w:pPr>
      <w:r>
        <w:rPr>
          <w:color w:val="000000"/>
          <w:sz w:val="24"/>
          <w:szCs w:val="24"/>
        </w:rPr>
        <w:t>经核查，保荐人中信建投证券股份有限公司认为：</w:t>
      </w:r>
    </w:p>
    <w:p>
      <w:pPr>
        <w:spacing w:line="380" w:lineRule="exact"/>
        <w:ind w:firstLine="480" w:firstLineChars="200"/>
        <w:rPr>
          <w:color w:val="000000"/>
          <w:sz w:val="24"/>
          <w:szCs w:val="24"/>
        </w:rPr>
      </w:pPr>
      <w:r>
        <w:rPr>
          <w:color w:val="000000"/>
          <w:sz w:val="24"/>
          <w:szCs w:val="24"/>
        </w:rPr>
        <w:t>公司本次限售股份上市流通申请的股份数量、上市流通时间符合《证券发行上市保荐业务管理办法》《深圳证券交易所股票上市规则》《深圳证券交易所上市公司自律监管指引第1号——主板上市公司规范运作》等相关规定要求；截至本核查意见出具之日，本次解除限售的股东履行了本次发行中的相关股票限售承诺；公司关于本次解除股份限售相关的信息披露真实、准确、完整。综上，保荐人对公司本次限售股份解除限售并上市流通事项无异议。</w:t>
      </w:r>
    </w:p>
    <w:bookmarkEnd w:id="0"/>
    <w:p>
      <w:pPr>
        <w:spacing w:line="380" w:lineRule="exact"/>
        <w:ind w:firstLine="482" w:firstLineChars="200"/>
        <w:rPr>
          <w:b/>
          <w:sz w:val="24"/>
          <w:szCs w:val="24"/>
        </w:rPr>
      </w:pPr>
      <w:r>
        <w:rPr>
          <w:rFonts w:hint="eastAsia"/>
          <w:b/>
          <w:sz w:val="24"/>
          <w:szCs w:val="24"/>
        </w:rPr>
        <w:t>八</w:t>
      </w:r>
      <w:r>
        <w:rPr>
          <w:b/>
          <w:sz w:val="24"/>
          <w:szCs w:val="24"/>
        </w:rPr>
        <w:t>、备查文件</w:t>
      </w:r>
    </w:p>
    <w:p>
      <w:pPr>
        <w:spacing w:line="380" w:lineRule="exact"/>
        <w:ind w:firstLine="480" w:firstLineChars="200"/>
        <w:rPr>
          <w:sz w:val="24"/>
        </w:rPr>
      </w:pPr>
      <w:bookmarkStart w:id="3" w:name="_Hlk107824294"/>
      <w:r>
        <w:rPr>
          <w:sz w:val="24"/>
        </w:rPr>
        <w:t>1. 公司限售股份解除限售申请表；</w:t>
      </w:r>
    </w:p>
    <w:p>
      <w:pPr>
        <w:spacing w:line="380" w:lineRule="exact"/>
        <w:ind w:firstLine="480" w:firstLineChars="200"/>
        <w:rPr>
          <w:sz w:val="24"/>
        </w:rPr>
      </w:pPr>
      <w:r>
        <w:rPr>
          <w:sz w:val="24"/>
        </w:rPr>
        <w:t>2. 公司股本结构表；</w:t>
      </w:r>
    </w:p>
    <w:p>
      <w:pPr>
        <w:spacing w:line="380" w:lineRule="exact"/>
        <w:ind w:firstLine="480" w:firstLineChars="200"/>
        <w:rPr>
          <w:sz w:val="24"/>
        </w:rPr>
      </w:pPr>
      <w:r>
        <w:rPr>
          <w:sz w:val="24"/>
        </w:rPr>
        <w:t>3. 限售股份明细表；</w:t>
      </w:r>
    </w:p>
    <w:p>
      <w:pPr>
        <w:spacing w:line="380" w:lineRule="exact"/>
        <w:ind w:firstLine="480" w:firstLineChars="200"/>
        <w:rPr>
          <w:sz w:val="24"/>
        </w:rPr>
      </w:pPr>
      <w:r>
        <w:rPr>
          <w:sz w:val="24"/>
        </w:rPr>
        <w:t>4. 公司董事会说明；</w:t>
      </w:r>
    </w:p>
    <w:p>
      <w:pPr>
        <w:spacing w:line="380" w:lineRule="exact"/>
        <w:ind w:firstLine="480" w:firstLineChars="200"/>
        <w:rPr>
          <w:sz w:val="24"/>
        </w:rPr>
      </w:pPr>
      <w:r>
        <w:rPr>
          <w:sz w:val="24"/>
        </w:rPr>
        <w:t>5. 《中信建投证券股份有限公司关于国家能源集团长源电力股份有限公司向特定对象发行股票部分限售股份解除限售上市流通的核查意见》</w:t>
      </w:r>
      <w:bookmarkEnd w:id="3"/>
      <w:r>
        <w:rPr>
          <w:sz w:val="24"/>
        </w:rPr>
        <w:t>。</w:t>
      </w:r>
    </w:p>
    <w:p>
      <w:pPr>
        <w:autoSpaceDE w:val="0"/>
        <w:autoSpaceDN w:val="0"/>
        <w:adjustRightInd w:val="0"/>
        <w:snapToGrid w:val="0"/>
        <w:spacing w:line="380" w:lineRule="exact"/>
        <w:ind w:right="-58" w:firstLine="480" w:firstLineChars="200"/>
        <w:jc w:val="left"/>
        <w:rPr>
          <w:color w:val="000000"/>
          <w:kern w:val="0"/>
          <w:sz w:val="24"/>
          <w:szCs w:val="24"/>
        </w:rPr>
      </w:pPr>
    </w:p>
    <w:p>
      <w:pPr>
        <w:spacing w:line="380" w:lineRule="exact"/>
        <w:ind w:firstLine="480" w:firstLineChars="200"/>
        <w:rPr>
          <w:color w:val="000000"/>
          <w:kern w:val="0"/>
          <w:sz w:val="24"/>
          <w:szCs w:val="24"/>
        </w:rPr>
      </w:pPr>
      <w:r>
        <w:rPr>
          <w:sz w:val="24"/>
        </w:rPr>
        <w:t>特此公告。</w:t>
      </w:r>
    </w:p>
    <w:p>
      <w:pPr>
        <w:autoSpaceDE w:val="0"/>
        <w:autoSpaceDN w:val="0"/>
        <w:adjustRightInd w:val="0"/>
        <w:snapToGrid w:val="0"/>
        <w:spacing w:line="380" w:lineRule="exact"/>
        <w:ind w:right="-58"/>
        <w:jc w:val="right"/>
        <w:rPr>
          <w:bCs/>
          <w:spacing w:val="1"/>
          <w:kern w:val="0"/>
          <w:sz w:val="24"/>
          <w:szCs w:val="24"/>
        </w:rPr>
      </w:pPr>
    </w:p>
    <w:p>
      <w:pPr>
        <w:autoSpaceDE w:val="0"/>
        <w:autoSpaceDN w:val="0"/>
        <w:adjustRightInd w:val="0"/>
        <w:snapToGrid w:val="0"/>
        <w:spacing w:line="380" w:lineRule="exact"/>
        <w:ind w:right="-58"/>
        <w:jc w:val="right"/>
        <w:rPr>
          <w:bCs/>
          <w:spacing w:val="1"/>
          <w:kern w:val="0"/>
          <w:sz w:val="24"/>
          <w:szCs w:val="24"/>
        </w:rPr>
      </w:pPr>
    </w:p>
    <w:p>
      <w:pPr>
        <w:autoSpaceDE w:val="0"/>
        <w:autoSpaceDN w:val="0"/>
        <w:adjustRightInd w:val="0"/>
        <w:snapToGrid w:val="0"/>
        <w:spacing w:line="380" w:lineRule="exact"/>
        <w:ind w:right="-58"/>
        <w:jc w:val="right"/>
        <w:rPr>
          <w:bCs/>
          <w:spacing w:val="1"/>
          <w:kern w:val="0"/>
          <w:sz w:val="24"/>
          <w:szCs w:val="24"/>
        </w:rPr>
      </w:pPr>
      <w:r>
        <w:rPr>
          <w:bCs/>
          <w:spacing w:val="1"/>
          <w:kern w:val="0"/>
          <w:sz w:val="24"/>
          <w:szCs w:val="24"/>
        </w:rPr>
        <w:t>国家能源集团长源电力股份有限公司董事会</w:t>
      </w:r>
    </w:p>
    <w:p>
      <w:pPr>
        <w:spacing w:line="380" w:lineRule="exact"/>
        <w:ind w:right="968"/>
        <w:jc w:val="center"/>
        <w:rPr>
          <w:color w:val="000000"/>
          <w:kern w:val="0"/>
          <w:sz w:val="24"/>
          <w:szCs w:val="24"/>
        </w:rPr>
      </w:pPr>
      <w:r>
        <w:rPr>
          <w:bCs/>
          <w:spacing w:val="1"/>
          <w:kern w:val="0"/>
          <w:sz w:val="24"/>
          <w:szCs w:val="24"/>
        </w:rPr>
        <w:t xml:space="preserve">                                      202</w:t>
      </w:r>
      <w:r>
        <w:rPr>
          <w:rFonts w:hint="eastAsia"/>
          <w:bCs/>
          <w:spacing w:val="1"/>
          <w:kern w:val="0"/>
          <w:sz w:val="24"/>
          <w:szCs w:val="24"/>
        </w:rPr>
        <w:t>6</w:t>
      </w:r>
      <w:r>
        <w:rPr>
          <w:bCs/>
          <w:spacing w:val="1"/>
          <w:kern w:val="0"/>
          <w:sz w:val="24"/>
          <w:szCs w:val="24"/>
        </w:rPr>
        <w:t>年</w:t>
      </w:r>
      <w:r>
        <w:rPr>
          <w:rFonts w:hint="eastAsia"/>
          <w:bCs/>
          <w:spacing w:val="1"/>
          <w:kern w:val="0"/>
          <w:sz w:val="24"/>
          <w:szCs w:val="24"/>
        </w:rPr>
        <w:t>6</w:t>
      </w:r>
      <w:r>
        <w:rPr>
          <w:bCs/>
          <w:spacing w:val="1"/>
          <w:kern w:val="0"/>
          <w:sz w:val="24"/>
          <w:szCs w:val="24"/>
        </w:rPr>
        <w:t>月</w:t>
      </w:r>
      <w:r>
        <w:rPr>
          <w:rFonts w:hint="eastAsia"/>
          <w:bCs/>
          <w:spacing w:val="1"/>
          <w:kern w:val="0"/>
          <w:sz w:val="24"/>
          <w:szCs w:val="24"/>
        </w:rPr>
        <w:t>1</w:t>
      </w:r>
      <w:r>
        <w:rPr>
          <w:bCs/>
          <w:spacing w:val="1"/>
          <w:kern w:val="0"/>
          <w:sz w:val="24"/>
          <w:szCs w:val="24"/>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8A"/>
    <w:rsid w:val="00033C9E"/>
    <w:rsid w:val="0007660D"/>
    <w:rsid w:val="000D5AEF"/>
    <w:rsid w:val="000E1702"/>
    <w:rsid w:val="00136D8A"/>
    <w:rsid w:val="001A21EA"/>
    <w:rsid w:val="001A3400"/>
    <w:rsid w:val="001D0184"/>
    <w:rsid w:val="00223D5F"/>
    <w:rsid w:val="00245D34"/>
    <w:rsid w:val="002514E0"/>
    <w:rsid w:val="002B2189"/>
    <w:rsid w:val="002C516B"/>
    <w:rsid w:val="00307EB3"/>
    <w:rsid w:val="0038378A"/>
    <w:rsid w:val="00397A30"/>
    <w:rsid w:val="003B36BF"/>
    <w:rsid w:val="00470F3D"/>
    <w:rsid w:val="00511AE6"/>
    <w:rsid w:val="00583448"/>
    <w:rsid w:val="00632B44"/>
    <w:rsid w:val="00684594"/>
    <w:rsid w:val="006A1BF0"/>
    <w:rsid w:val="006E4640"/>
    <w:rsid w:val="006F4DC1"/>
    <w:rsid w:val="006F515B"/>
    <w:rsid w:val="00727518"/>
    <w:rsid w:val="007278D5"/>
    <w:rsid w:val="00732E4A"/>
    <w:rsid w:val="007650A7"/>
    <w:rsid w:val="007C79CB"/>
    <w:rsid w:val="007D74FB"/>
    <w:rsid w:val="008E5057"/>
    <w:rsid w:val="008F5B27"/>
    <w:rsid w:val="00907FAF"/>
    <w:rsid w:val="00924D71"/>
    <w:rsid w:val="00925AB4"/>
    <w:rsid w:val="0094526A"/>
    <w:rsid w:val="00953BEA"/>
    <w:rsid w:val="0095641A"/>
    <w:rsid w:val="00957DE9"/>
    <w:rsid w:val="009706BA"/>
    <w:rsid w:val="00973378"/>
    <w:rsid w:val="009B6FD6"/>
    <w:rsid w:val="009C0133"/>
    <w:rsid w:val="009D39AB"/>
    <w:rsid w:val="009E63F5"/>
    <w:rsid w:val="00A66713"/>
    <w:rsid w:val="00A84257"/>
    <w:rsid w:val="00AB62D0"/>
    <w:rsid w:val="00AC25AA"/>
    <w:rsid w:val="00AD71A7"/>
    <w:rsid w:val="00B14287"/>
    <w:rsid w:val="00BA178D"/>
    <w:rsid w:val="00BA46F4"/>
    <w:rsid w:val="00BE020A"/>
    <w:rsid w:val="00C46951"/>
    <w:rsid w:val="00C80FF2"/>
    <w:rsid w:val="00C9534E"/>
    <w:rsid w:val="00C97388"/>
    <w:rsid w:val="00CB110F"/>
    <w:rsid w:val="00CF1D4C"/>
    <w:rsid w:val="00D466E2"/>
    <w:rsid w:val="00D86C08"/>
    <w:rsid w:val="00D95682"/>
    <w:rsid w:val="00E10227"/>
    <w:rsid w:val="00E13191"/>
    <w:rsid w:val="00E21B3F"/>
    <w:rsid w:val="00E21ED9"/>
    <w:rsid w:val="00ED7880"/>
    <w:rsid w:val="00F01493"/>
    <w:rsid w:val="00F24F9D"/>
    <w:rsid w:val="00F774C3"/>
    <w:rsid w:val="00F87973"/>
    <w:rsid w:val="00FA120F"/>
    <w:rsid w:val="00FC4CDB"/>
    <w:rsid w:val="01E75473"/>
    <w:rsid w:val="05140AD2"/>
    <w:rsid w:val="063E4708"/>
    <w:rsid w:val="08EF4E54"/>
    <w:rsid w:val="0A9362D9"/>
    <w:rsid w:val="0F676E58"/>
    <w:rsid w:val="11550AF5"/>
    <w:rsid w:val="172608A4"/>
    <w:rsid w:val="173A3666"/>
    <w:rsid w:val="20E1362E"/>
    <w:rsid w:val="21163681"/>
    <w:rsid w:val="21677A63"/>
    <w:rsid w:val="2C876498"/>
    <w:rsid w:val="3124470B"/>
    <w:rsid w:val="45E11486"/>
    <w:rsid w:val="4BF77FF5"/>
    <w:rsid w:val="4CB13CF8"/>
    <w:rsid w:val="4CF70970"/>
    <w:rsid w:val="50454F35"/>
    <w:rsid w:val="51160AB0"/>
    <w:rsid w:val="521B6B5A"/>
    <w:rsid w:val="556773BF"/>
    <w:rsid w:val="55BB367D"/>
    <w:rsid w:val="5CC80FF9"/>
    <w:rsid w:val="5D056CE5"/>
    <w:rsid w:val="65C53A56"/>
    <w:rsid w:val="66D75A34"/>
    <w:rsid w:val="69E542D5"/>
    <w:rsid w:val="6E582052"/>
    <w:rsid w:val="714645B4"/>
    <w:rsid w:val="71F33A40"/>
    <w:rsid w:val="754F2760"/>
    <w:rsid w:val="78012D43"/>
    <w:rsid w:val="7AFC5A4C"/>
    <w:rsid w:val="7DF5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unhideWhenUsed/>
    <w:qFormat/>
    <w:uiPriority w:val="99"/>
    <w:pPr>
      <w:snapToGrid w:val="0"/>
      <w:jc w:val="left"/>
    </w:pPr>
    <w:rPr>
      <w:sz w:val="18"/>
      <w:szCs w:val="18"/>
    </w:rPr>
  </w:style>
  <w:style w:type="paragraph" w:styleId="7">
    <w:name w:val="Normal (Web)"/>
    <w:basedOn w:val="1"/>
    <w:unhideWhenUsed/>
    <w:qFormat/>
    <w:uiPriority w:val="99"/>
    <w:rPr>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unhideWhenUsed/>
    <w:qFormat/>
    <w:uiPriority w:val="99"/>
    <w:rPr>
      <w:vertAlign w:val="superscript"/>
    </w:rPr>
  </w:style>
  <w:style w:type="character" w:customStyle="1" w:styleId="12">
    <w:name w:val="标题 1 字符"/>
    <w:link w:val="2"/>
    <w:qFormat/>
    <w:uiPriority w:val="9"/>
    <w:rPr>
      <w:b/>
      <w:bCs/>
      <w:kern w:val="44"/>
      <w:sz w:val="44"/>
      <w:szCs w:val="44"/>
    </w:rPr>
  </w:style>
  <w:style w:type="character" w:customStyle="1" w:styleId="13">
    <w:name w:val="标题 2 字符"/>
    <w:link w:val="3"/>
    <w:qFormat/>
    <w:uiPriority w:val="9"/>
    <w:rPr>
      <w:rFonts w:ascii="等线 Light" w:hAnsi="等线 Light" w:eastAsia="等线 Light" w:cs="Times New Roman"/>
      <w:b/>
      <w:bCs/>
      <w:sz w:val="32"/>
      <w:szCs w:val="32"/>
    </w:rPr>
  </w:style>
  <w:style w:type="character" w:customStyle="1" w:styleId="14">
    <w:name w:val="页脚 字符"/>
    <w:link w:val="4"/>
    <w:qFormat/>
    <w:uiPriority w:val="99"/>
    <w:rPr>
      <w:sz w:val="18"/>
      <w:szCs w:val="18"/>
    </w:rPr>
  </w:style>
  <w:style w:type="character" w:customStyle="1" w:styleId="15">
    <w:name w:val="页眉 字符"/>
    <w:link w:val="5"/>
    <w:qFormat/>
    <w:uiPriority w:val="99"/>
    <w:rPr>
      <w:sz w:val="18"/>
      <w:szCs w:val="18"/>
    </w:rPr>
  </w:style>
  <w:style w:type="character" w:customStyle="1" w:styleId="16">
    <w:name w:val="脚注文本 字符"/>
    <w:link w:val="6"/>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522</Words>
  <Characters>2979</Characters>
  <Lines>24</Lines>
  <Paragraphs>6</Paragraphs>
  <TotalTime>2</TotalTime>
  <ScaleCrop>false</ScaleCrop>
  <LinksUpToDate>false</LinksUpToDate>
  <CharactersWithSpaces>3495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2022-07-06T07:01:00Z</dcterms:created>
  <dc:creator>浩东 何</dc:creator>
  <cp:lastModifiedBy>刘硕02</cp:lastModifiedBy>
  <dcterms:modified xsi:type="dcterms:W3CDTF">2026-05-28T08:45:31Z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6B13A2B0762445C0B6D4986C0BCE4C19</vt:lpwstr>
  </property>
</Properties>
</file>