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2E778">
      <w:pPr>
        <w:autoSpaceDE w:val="0"/>
        <w:autoSpaceDN w:val="0"/>
        <w:adjustRightInd w:val="0"/>
        <w:snapToGrid w:val="0"/>
        <w:spacing w:line="440" w:lineRule="exact"/>
        <w:rPr>
          <w:rFonts w:hint="default" w:eastAsia="宋体"/>
          <w:sz w:val="24"/>
          <w:lang w:val="en-US" w:eastAsia="zh-CN"/>
        </w:rPr>
      </w:pPr>
      <w:bookmarkStart w:id="0" w:name="_GoBack"/>
      <w:bookmarkEnd w:id="0"/>
      <w:r>
        <w:rPr>
          <w:sz w:val="24"/>
        </w:rPr>
        <w:t xml:space="preserve">证券代码：000966 </w:t>
      </w:r>
      <w:r>
        <w:rPr>
          <w:rFonts w:hint="eastAsia"/>
          <w:sz w:val="24"/>
        </w:rPr>
        <w:t xml:space="preserve"> </w:t>
      </w:r>
      <w:r>
        <w:rPr>
          <w:sz w:val="24"/>
        </w:rPr>
        <w:t xml:space="preserve">        证券简称</w:t>
      </w:r>
      <w:r>
        <w:rPr>
          <w:sz w:val="24"/>
          <w:highlight w:val="none"/>
        </w:rPr>
        <w:t xml:space="preserve">：长源电力   </w:t>
      </w:r>
      <w:r>
        <w:rPr>
          <w:rFonts w:hint="eastAsia"/>
          <w:sz w:val="24"/>
          <w:highlight w:val="none"/>
        </w:rPr>
        <w:t xml:space="preserve"> </w:t>
      </w:r>
      <w:r>
        <w:rPr>
          <w:sz w:val="24"/>
          <w:highlight w:val="none"/>
        </w:rPr>
        <w:t xml:space="preserve">   公告编号：</w:t>
      </w:r>
      <w:r>
        <w:rPr>
          <w:rFonts w:hint="eastAsia"/>
          <w:sz w:val="24"/>
          <w:highlight w:val="none"/>
          <w:lang w:val="en-US" w:eastAsia="zh-CN"/>
        </w:rPr>
        <w:t>2026-023</w:t>
      </w:r>
    </w:p>
    <w:p w14:paraId="23270E3C">
      <w:pPr>
        <w:adjustRightInd w:val="0"/>
        <w:snapToGrid w:val="0"/>
        <w:spacing w:line="440" w:lineRule="exact"/>
        <w:jc w:val="center"/>
        <w:rPr>
          <w:b/>
          <w:color w:val="000000"/>
          <w:kern w:val="0"/>
          <w:sz w:val="32"/>
          <w:szCs w:val="32"/>
        </w:rPr>
      </w:pPr>
    </w:p>
    <w:p w14:paraId="5F413667">
      <w:pPr>
        <w:adjustRightInd w:val="0"/>
        <w:snapToGrid w:val="0"/>
        <w:spacing w:line="440" w:lineRule="exact"/>
        <w:jc w:val="center"/>
        <w:outlineLvl w:val="0"/>
        <w:rPr>
          <w:rFonts w:ascii="方正小标宋简体" w:hAnsi="方正小标宋简体" w:eastAsia="方正小标宋简体" w:cs="方正小标宋简体"/>
          <w:bCs/>
          <w:color w:val="000000"/>
          <w:kern w:val="0"/>
          <w:sz w:val="32"/>
          <w:szCs w:val="32"/>
        </w:rPr>
      </w:pPr>
      <w:r>
        <w:rPr>
          <w:rFonts w:hint="eastAsia" w:ascii="方正小标宋简体" w:hAnsi="方正小标宋简体" w:eastAsia="方正小标宋简体" w:cs="方正小标宋简体"/>
          <w:bCs/>
          <w:color w:val="000000"/>
          <w:kern w:val="0"/>
          <w:sz w:val="32"/>
          <w:szCs w:val="32"/>
        </w:rPr>
        <w:t>国家能源集团长源电力股份有限公司</w:t>
      </w:r>
    </w:p>
    <w:p w14:paraId="36677AED">
      <w:pPr>
        <w:adjustRightInd w:val="0"/>
        <w:snapToGrid w:val="0"/>
        <w:spacing w:line="440" w:lineRule="exact"/>
        <w:jc w:val="center"/>
        <w:outlineLvl w:val="0"/>
        <w:rPr>
          <w:b/>
          <w:color w:val="000000"/>
          <w:kern w:val="0"/>
          <w:sz w:val="32"/>
          <w:szCs w:val="32"/>
        </w:rPr>
      </w:pPr>
      <w:r>
        <w:rPr>
          <w:rFonts w:hint="eastAsia" w:ascii="方正小标宋简体" w:hAnsi="方正小标宋简体" w:eastAsia="方正小标宋简体" w:cs="方正小标宋简体"/>
          <w:bCs/>
          <w:color w:val="000000"/>
          <w:kern w:val="0"/>
          <w:sz w:val="32"/>
          <w:szCs w:val="32"/>
        </w:rPr>
        <w:t>关于会计政策变更的公告</w:t>
      </w:r>
    </w:p>
    <w:p w14:paraId="0935095B">
      <w:pPr>
        <w:autoSpaceDE w:val="0"/>
        <w:autoSpaceDN w:val="0"/>
        <w:adjustRightInd w:val="0"/>
        <w:snapToGrid w:val="0"/>
        <w:spacing w:line="440" w:lineRule="exact"/>
        <w:ind w:right="360"/>
        <w:jc w:val="center"/>
        <w:rPr>
          <w:sz w:val="32"/>
          <w:szCs w:val="32"/>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14:paraId="7942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82" w:type="dxa"/>
            <w:tcBorders>
              <w:top w:val="single" w:color="auto" w:sz="4" w:space="0"/>
              <w:left w:val="single" w:color="auto" w:sz="4" w:space="0"/>
              <w:bottom w:val="single" w:color="auto" w:sz="4" w:space="0"/>
              <w:right w:val="single" w:color="auto" w:sz="4" w:space="0"/>
            </w:tcBorders>
          </w:tcPr>
          <w:p w14:paraId="06256411">
            <w:pPr>
              <w:autoSpaceDE w:val="0"/>
              <w:autoSpaceDN w:val="0"/>
              <w:adjustRightInd w:val="0"/>
              <w:snapToGrid w:val="0"/>
              <w:spacing w:line="380" w:lineRule="exact"/>
              <w:ind w:firstLine="480" w:firstLineChars="200"/>
              <w:rPr>
                <w:sz w:val="24"/>
                <w:szCs w:val="28"/>
              </w:rPr>
            </w:pPr>
            <w:r>
              <w:rPr>
                <w:rFonts w:hAnsi="宋体"/>
                <w:sz w:val="24"/>
              </w:rPr>
              <w:t>本公司及董事会全体成员保证信息披露的内容真实、准确、完整，没有虚假记载、误导性陈述或重大遗漏</w:t>
            </w:r>
            <w:r>
              <w:rPr>
                <w:kern w:val="0"/>
                <w:sz w:val="24"/>
                <w:szCs w:val="28"/>
              </w:rPr>
              <w:t>。</w:t>
            </w:r>
          </w:p>
        </w:tc>
      </w:tr>
    </w:tbl>
    <w:p w14:paraId="1B7C6A88">
      <w:pPr>
        <w:adjustRightInd w:val="0"/>
        <w:snapToGrid w:val="0"/>
        <w:ind w:firstLine="570"/>
        <w:rPr>
          <w:b/>
          <w:sz w:val="24"/>
          <w:szCs w:val="28"/>
        </w:rPr>
      </w:pPr>
    </w:p>
    <w:p w14:paraId="38F168B3">
      <w:pPr>
        <w:autoSpaceDE w:val="0"/>
        <w:autoSpaceDN w:val="0"/>
        <w:adjustRightInd w:val="0"/>
        <w:snapToGrid w:val="0"/>
        <w:spacing w:line="380" w:lineRule="exact"/>
        <w:ind w:firstLine="482" w:firstLineChars="200"/>
        <w:outlineLvl w:val="0"/>
        <w:rPr>
          <w:b/>
          <w:bCs/>
          <w:sz w:val="24"/>
        </w:rPr>
      </w:pPr>
      <w:r>
        <w:rPr>
          <w:b/>
          <w:bCs/>
          <w:sz w:val="24"/>
        </w:rPr>
        <w:t>特别提示：</w:t>
      </w:r>
    </w:p>
    <w:p w14:paraId="6E653204">
      <w:pPr>
        <w:pStyle w:val="28"/>
        <w:snapToGrid w:val="0"/>
        <w:spacing w:line="380" w:lineRule="exact"/>
        <w:ind w:firstLine="480" w:firstLineChars="200"/>
        <w:rPr>
          <w:rFonts w:ascii="Times New Roman" w:hAnsi="Times New Roman" w:cs="Times New Roman"/>
          <w:bCs/>
          <w:color w:val="auto"/>
        </w:rPr>
      </w:pPr>
      <w:r>
        <w:rPr>
          <w:rFonts w:hint="default" w:ascii="Times New Roman" w:hAnsi="Times New Roman" w:eastAsia="宋体" w:cs="Times New Roman"/>
          <w:b w:val="0"/>
          <w:bCs/>
          <w:color w:val="auto"/>
          <w:sz w:val="24"/>
          <w:szCs w:val="24"/>
          <w:highlight w:val="none"/>
        </w:rPr>
        <w:t>本次会计政策变更系根据中华人民共和国财政部（以下简称</w:t>
      </w:r>
      <w:r>
        <w:rPr>
          <w:rFonts w:hint="eastAsia" w:ascii="Times New Roman" w:eastAsia="宋体"/>
          <w:sz w:val="24"/>
          <w:szCs w:val="24"/>
        </w:rPr>
        <w:t>财政部</w:t>
      </w:r>
      <w:r>
        <w:rPr>
          <w:rFonts w:hint="default" w:ascii="Times New Roman" w:hAnsi="Times New Roman" w:eastAsia="宋体" w:cs="Times New Roman"/>
          <w:b w:val="0"/>
          <w:bCs/>
          <w:color w:val="auto"/>
          <w:sz w:val="24"/>
          <w:szCs w:val="24"/>
          <w:highlight w:val="none"/>
        </w:rPr>
        <w:t>）相关规定进行的相应变更，无需提交公司董事会和股东会审议</w:t>
      </w:r>
      <w:r>
        <w:rPr>
          <w:rFonts w:hint="eastAsia" w:ascii="Times New Roman" w:hAnsi="Times New Roman" w:eastAsia="宋体" w:cs="Times New Roman"/>
          <w:b w:val="0"/>
          <w:bCs/>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不会对公司当前及前期财务状况、经营成果和现金流量产生重大影响，</w:t>
      </w:r>
      <w:r>
        <w:rPr>
          <w:rFonts w:hint="default" w:ascii="Times New Roman" w:hAnsi="Times New Roman" w:eastAsia="宋体" w:cs="Times New Roman"/>
          <w:sz w:val="24"/>
          <w:szCs w:val="24"/>
          <w:highlight w:val="none"/>
        </w:rPr>
        <w:t>不存在损害公司及股东利益的情形</w:t>
      </w:r>
      <w:r>
        <w:rPr>
          <w:rFonts w:hint="eastAsia" w:ascii="Times New Roman" w:hAnsi="Times New Roman" w:cs="Times New Roman"/>
          <w:bCs/>
          <w:color w:val="auto"/>
        </w:rPr>
        <w:t>。</w:t>
      </w:r>
    </w:p>
    <w:p w14:paraId="07E83333">
      <w:pPr>
        <w:pStyle w:val="28"/>
        <w:snapToGrid w:val="0"/>
        <w:spacing w:line="380" w:lineRule="exact"/>
        <w:ind w:firstLine="482" w:firstLineChars="200"/>
        <w:outlineLvl w:val="0"/>
        <w:rPr>
          <w:rFonts w:ascii="Times New Roman" w:hAnsi="Times New Roman" w:cs="Times New Roman"/>
          <w:b/>
          <w:color w:val="auto"/>
        </w:rPr>
      </w:pPr>
      <w:r>
        <w:rPr>
          <w:rFonts w:ascii="Times New Roman" w:hAnsi="Times New Roman" w:cs="Times New Roman"/>
          <w:b/>
          <w:color w:val="auto"/>
        </w:rPr>
        <w:t xml:space="preserve">一、会计政策变更概述 </w:t>
      </w:r>
    </w:p>
    <w:p w14:paraId="47B5AA2B">
      <w:pPr>
        <w:pStyle w:val="25"/>
        <w:adjustRightInd w:val="0"/>
        <w:snapToGrid w:val="0"/>
        <w:spacing w:line="380" w:lineRule="exact"/>
        <w:ind w:firstLine="480"/>
        <w:outlineLvl w:val="1"/>
        <w:rPr>
          <w:rFonts w:ascii="Times New Roman" w:eastAsia="宋体"/>
          <w:color w:val="auto"/>
          <w:sz w:val="24"/>
          <w:szCs w:val="24"/>
        </w:rPr>
      </w:pPr>
      <w:r>
        <w:rPr>
          <w:rFonts w:ascii="Times New Roman" w:eastAsia="宋体"/>
          <w:color w:val="auto"/>
          <w:sz w:val="24"/>
          <w:szCs w:val="24"/>
        </w:rPr>
        <w:t>（一）变更原因</w:t>
      </w:r>
    </w:p>
    <w:p w14:paraId="6BE64D0F">
      <w:pPr>
        <w:pStyle w:val="25"/>
        <w:adjustRightInd w:val="0"/>
        <w:snapToGrid w:val="0"/>
        <w:spacing w:line="380" w:lineRule="exact"/>
        <w:rPr>
          <w:rFonts w:ascii="Times New Roman" w:eastAsia="宋体"/>
          <w:sz w:val="24"/>
          <w:szCs w:val="24"/>
        </w:rPr>
      </w:pPr>
      <w:r>
        <w:rPr>
          <w:rFonts w:hint="eastAsia" w:ascii="Times New Roman" w:eastAsia="宋体"/>
          <w:sz w:val="24"/>
          <w:szCs w:val="24"/>
        </w:rPr>
        <w:t>财政部于202</w:t>
      </w:r>
      <w:r>
        <w:rPr>
          <w:rFonts w:hint="eastAsia" w:ascii="Times New Roman" w:eastAsia="宋体"/>
          <w:sz w:val="24"/>
          <w:szCs w:val="24"/>
          <w:lang w:val="en-US" w:eastAsia="zh-CN"/>
        </w:rPr>
        <w:t>5</w:t>
      </w:r>
      <w:r>
        <w:rPr>
          <w:rFonts w:hint="eastAsia" w:ascii="Times New Roman" w:eastAsia="宋体"/>
          <w:sz w:val="24"/>
          <w:szCs w:val="24"/>
        </w:rPr>
        <w:t>年12月</w:t>
      </w:r>
      <w:r>
        <w:rPr>
          <w:rFonts w:hint="eastAsia" w:ascii="Times New Roman" w:eastAsia="宋体"/>
          <w:sz w:val="24"/>
          <w:szCs w:val="24"/>
          <w:lang w:val="en-US" w:eastAsia="zh-CN"/>
        </w:rPr>
        <w:t>5</w:t>
      </w:r>
      <w:r>
        <w:rPr>
          <w:rFonts w:hint="eastAsia" w:ascii="Times New Roman" w:eastAsia="宋体"/>
          <w:sz w:val="24"/>
          <w:szCs w:val="24"/>
        </w:rPr>
        <w:t>日发布</w:t>
      </w:r>
      <w:r>
        <w:rPr>
          <w:rFonts w:hint="eastAsia" w:ascii="Times New Roman" w:eastAsia="宋体"/>
          <w:sz w:val="24"/>
          <w:szCs w:val="24"/>
          <w:lang w:eastAsia="zh-CN"/>
        </w:rPr>
        <w:t>《</w:t>
      </w:r>
      <w:r>
        <w:rPr>
          <w:rFonts w:hint="eastAsia" w:ascii="Times New Roman" w:eastAsia="宋体"/>
          <w:sz w:val="24"/>
          <w:szCs w:val="24"/>
        </w:rPr>
        <w:t>企业会计准则解释第1</w:t>
      </w:r>
      <w:r>
        <w:rPr>
          <w:rFonts w:hint="eastAsia" w:ascii="Times New Roman" w:eastAsia="宋体"/>
          <w:sz w:val="24"/>
          <w:szCs w:val="24"/>
          <w:lang w:val="en-US" w:eastAsia="zh-CN"/>
        </w:rPr>
        <w:t>9</w:t>
      </w:r>
      <w:r>
        <w:rPr>
          <w:rFonts w:hint="eastAsia" w:ascii="Times New Roman" w:eastAsia="宋体"/>
          <w:sz w:val="24"/>
          <w:szCs w:val="24"/>
        </w:rPr>
        <w:t>号</w:t>
      </w:r>
      <w:r>
        <w:rPr>
          <w:rFonts w:hint="eastAsia" w:ascii="Times New Roman" w:eastAsia="宋体"/>
          <w:sz w:val="24"/>
          <w:szCs w:val="24"/>
          <w:lang w:eastAsia="zh-CN"/>
        </w:rPr>
        <w:t>》</w:t>
      </w:r>
      <w:r>
        <w:rPr>
          <w:rFonts w:hint="eastAsia" w:ascii="Times New Roman" w:eastAsia="宋体"/>
          <w:sz w:val="24"/>
          <w:szCs w:val="24"/>
        </w:rPr>
        <w:t>（财会〔202</w:t>
      </w:r>
      <w:r>
        <w:rPr>
          <w:rFonts w:hint="eastAsia" w:ascii="Times New Roman" w:eastAsia="宋体"/>
          <w:sz w:val="24"/>
          <w:szCs w:val="24"/>
          <w:lang w:val="en-US" w:eastAsia="zh-CN"/>
        </w:rPr>
        <w:t>5</w:t>
      </w:r>
      <w:r>
        <w:rPr>
          <w:rFonts w:hint="eastAsia" w:ascii="Times New Roman" w:eastAsia="宋体"/>
          <w:sz w:val="24"/>
          <w:szCs w:val="24"/>
        </w:rPr>
        <w:t>〕</w:t>
      </w:r>
      <w:r>
        <w:rPr>
          <w:rFonts w:hint="eastAsia" w:ascii="Times New Roman" w:eastAsia="宋体"/>
          <w:sz w:val="24"/>
          <w:szCs w:val="24"/>
          <w:lang w:val="en-US" w:eastAsia="zh-CN"/>
        </w:rPr>
        <w:t>32</w:t>
      </w:r>
      <w:r>
        <w:rPr>
          <w:rFonts w:hint="eastAsia" w:ascii="Times New Roman" w:eastAsia="宋体"/>
          <w:sz w:val="24"/>
          <w:szCs w:val="24"/>
        </w:rPr>
        <w:t>号，以下简称《解释第</w:t>
      </w:r>
      <w:r>
        <w:rPr>
          <w:rFonts w:hint="eastAsia" w:ascii="Times New Roman" w:eastAsia="宋体"/>
          <w:sz w:val="24"/>
          <w:szCs w:val="24"/>
          <w:lang w:val="en-US" w:eastAsia="zh-CN"/>
        </w:rPr>
        <w:t>19</w:t>
      </w:r>
      <w:r>
        <w:rPr>
          <w:rFonts w:hint="eastAsia" w:ascii="Times New Roman" w:eastAsia="宋体"/>
          <w:sz w:val="24"/>
          <w:szCs w:val="24"/>
        </w:rPr>
        <w:t>号》），规定了“关于非同一控制下企业合并中补偿性资产的会计处理”“关于处置原通过同一控制下企业合并取得子公司时相关资本公积的会计处理”“关于采用电子支付系统结算的金融负债的终止确认”“关于金融资产合同现金流量特征的评估及相关披露”</w:t>
      </w:r>
      <w:r>
        <w:rPr>
          <w:rFonts w:hint="eastAsia" w:ascii="Times New Roman" w:eastAsia="宋体"/>
          <w:sz w:val="24"/>
          <w:szCs w:val="24"/>
          <w:lang w:eastAsia="zh-CN"/>
        </w:rPr>
        <w:t>和</w:t>
      </w:r>
      <w:r>
        <w:rPr>
          <w:rFonts w:hint="eastAsia" w:ascii="Times New Roman" w:eastAsia="宋体"/>
          <w:sz w:val="24"/>
          <w:szCs w:val="24"/>
        </w:rPr>
        <w:t>“关于指定为以公允价值计量且其变动计入其他综合收益的权益工具的披露”等内容</w:t>
      </w:r>
      <w:r>
        <w:rPr>
          <w:rFonts w:hint="eastAsia" w:ascii="Times New Roman" w:eastAsia="宋体"/>
          <w:sz w:val="24"/>
          <w:szCs w:val="24"/>
          <w:lang w:eastAsia="zh-CN"/>
        </w:rPr>
        <w:t>，</w:t>
      </w:r>
      <w:r>
        <w:rPr>
          <w:rFonts w:hint="eastAsia" w:ascii="Times New Roman" w:eastAsia="宋体"/>
          <w:sz w:val="24"/>
          <w:szCs w:val="24"/>
        </w:rPr>
        <w:t>自2026年1月1日起施行。由于上述会计准则解释的发布，公司需对会计政策进行相应变更，并按以上文件规定的生效日期开始执行。</w:t>
      </w:r>
    </w:p>
    <w:p w14:paraId="4D2CBBCC">
      <w:pPr>
        <w:pStyle w:val="25"/>
        <w:numPr>
          <w:ilvl w:val="0"/>
          <w:numId w:val="1"/>
        </w:numPr>
        <w:adjustRightInd w:val="0"/>
        <w:snapToGrid w:val="0"/>
        <w:spacing w:line="380" w:lineRule="exact"/>
        <w:ind w:firstLine="480"/>
        <w:outlineLvl w:val="1"/>
        <w:rPr>
          <w:rFonts w:ascii="Times New Roman" w:eastAsia="宋体"/>
          <w:color w:val="auto"/>
          <w:sz w:val="24"/>
          <w:szCs w:val="24"/>
        </w:rPr>
      </w:pPr>
      <w:r>
        <w:rPr>
          <w:rFonts w:ascii="Times New Roman" w:eastAsia="宋体"/>
          <w:color w:val="auto"/>
          <w:sz w:val="24"/>
          <w:szCs w:val="24"/>
        </w:rPr>
        <w:t>变更的适用日期</w:t>
      </w:r>
    </w:p>
    <w:p w14:paraId="26DA83DF">
      <w:pPr>
        <w:pStyle w:val="25"/>
        <w:adjustRightInd w:val="0"/>
        <w:snapToGrid w:val="0"/>
        <w:spacing w:line="380" w:lineRule="exact"/>
        <w:ind w:firstLine="480"/>
        <w:rPr>
          <w:rFonts w:hint="eastAsia" w:ascii="Times New Roman" w:eastAsia="宋体"/>
          <w:sz w:val="24"/>
          <w:szCs w:val="24"/>
        </w:rPr>
      </w:pPr>
      <w:r>
        <w:rPr>
          <w:rFonts w:ascii="Times New Roman" w:eastAsia="宋体"/>
          <w:sz w:val="24"/>
          <w:szCs w:val="24"/>
        </w:rPr>
        <w:t>执行日期：202</w:t>
      </w:r>
      <w:r>
        <w:rPr>
          <w:rFonts w:hint="eastAsia" w:ascii="Times New Roman" w:eastAsia="宋体"/>
          <w:sz w:val="24"/>
          <w:szCs w:val="24"/>
          <w:lang w:val="en-US" w:eastAsia="zh-CN"/>
        </w:rPr>
        <w:t>6</w:t>
      </w:r>
      <w:r>
        <w:rPr>
          <w:rFonts w:ascii="Times New Roman" w:eastAsia="宋体"/>
          <w:sz w:val="24"/>
          <w:szCs w:val="24"/>
        </w:rPr>
        <w:t>年</w:t>
      </w:r>
      <w:r>
        <w:rPr>
          <w:rFonts w:hint="eastAsia" w:ascii="Times New Roman" w:eastAsia="宋体"/>
          <w:sz w:val="24"/>
          <w:szCs w:val="24"/>
          <w:lang w:val="en-US" w:eastAsia="zh-CN"/>
        </w:rPr>
        <w:t>1</w:t>
      </w:r>
      <w:r>
        <w:rPr>
          <w:rFonts w:ascii="Times New Roman" w:eastAsia="宋体"/>
          <w:sz w:val="24"/>
          <w:szCs w:val="24"/>
        </w:rPr>
        <w:t>月</w:t>
      </w:r>
      <w:r>
        <w:rPr>
          <w:rFonts w:hint="eastAsia" w:ascii="Times New Roman" w:eastAsia="宋体"/>
          <w:sz w:val="24"/>
          <w:szCs w:val="24"/>
          <w:lang w:val="en-US" w:eastAsia="zh-CN"/>
        </w:rPr>
        <w:t>1</w:t>
      </w:r>
      <w:r>
        <w:rPr>
          <w:rFonts w:ascii="Times New Roman" w:eastAsia="宋体"/>
          <w:sz w:val="24"/>
          <w:szCs w:val="24"/>
        </w:rPr>
        <w:t>日</w:t>
      </w:r>
      <w:r>
        <w:rPr>
          <w:rFonts w:hint="eastAsia" w:ascii="Times New Roman" w:eastAsia="宋体"/>
          <w:sz w:val="24"/>
          <w:szCs w:val="24"/>
        </w:rPr>
        <w:t>。</w:t>
      </w:r>
    </w:p>
    <w:p w14:paraId="08A6FD36">
      <w:pPr>
        <w:pStyle w:val="25"/>
        <w:numPr>
          <w:ilvl w:val="0"/>
          <w:numId w:val="1"/>
        </w:numPr>
        <w:adjustRightInd w:val="0"/>
        <w:snapToGrid w:val="0"/>
        <w:spacing w:line="380" w:lineRule="exact"/>
        <w:ind w:firstLine="480"/>
        <w:outlineLvl w:val="1"/>
        <w:rPr>
          <w:rFonts w:ascii="Times New Roman" w:eastAsia="宋体"/>
          <w:color w:val="auto"/>
          <w:sz w:val="24"/>
          <w:szCs w:val="24"/>
          <w:highlight w:val="none"/>
        </w:rPr>
      </w:pPr>
      <w:r>
        <w:rPr>
          <w:rFonts w:ascii="Times New Roman" w:eastAsia="宋体"/>
          <w:color w:val="auto"/>
          <w:sz w:val="24"/>
          <w:szCs w:val="24"/>
          <w:highlight w:val="none"/>
        </w:rPr>
        <w:t>变更前采用的会计政策</w:t>
      </w:r>
    </w:p>
    <w:p w14:paraId="4830D904">
      <w:pPr>
        <w:pStyle w:val="25"/>
        <w:adjustRightInd w:val="0"/>
        <w:snapToGrid w:val="0"/>
        <w:spacing w:line="380" w:lineRule="exact"/>
        <w:ind w:firstLine="480"/>
        <w:rPr>
          <w:rFonts w:ascii="Times New Roman" w:eastAsia="宋体"/>
          <w:sz w:val="24"/>
          <w:szCs w:val="24"/>
          <w:highlight w:val="none"/>
        </w:rPr>
      </w:pPr>
      <w:r>
        <w:rPr>
          <w:rFonts w:hint="eastAsia" w:ascii="Times New Roman" w:eastAsia="宋体"/>
          <w:sz w:val="24"/>
          <w:szCs w:val="24"/>
          <w:highlight w:val="none"/>
        </w:rPr>
        <w:t>本次会计政策变更前，公司执行财政部颁布的《企业会计准则——基本准则》和各项具体会计准则、企业会计准则应用指南、企业会计准则解释公告及其他相关规定。</w:t>
      </w:r>
    </w:p>
    <w:p w14:paraId="3C75C283">
      <w:pPr>
        <w:pStyle w:val="25"/>
        <w:numPr>
          <w:ilvl w:val="0"/>
          <w:numId w:val="1"/>
        </w:numPr>
        <w:adjustRightInd w:val="0"/>
        <w:snapToGrid w:val="0"/>
        <w:spacing w:line="380" w:lineRule="exact"/>
        <w:ind w:firstLine="480"/>
        <w:outlineLvl w:val="1"/>
        <w:rPr>
          <w:rFonts w:ascii="Times New Roman" w:eastAsia="宋体"/>
          <w:color w:val="auto"/>
          <w:sz w:val="24"/>
          <w:szCs w:val="24"/>
          <w:highlight w:val="none"/>
        </w:rPr>
      </w:pPr>
      <w:r>
        <w:rPr>
          <w:rFonts w:ascii="Times New Roman" w:eastAsia="宋体"/>
          <w:color w:val="auto"/>
          <w:sz w:val="24"/>
          <w:szCs w:val="24"/>
          <w:highlight w:val="none"/>
        </w:rPr>
        <w:t>变更后采用的会计政策</w:t>
      </w:r>
    </w:p>
    <w:p w14:paraId="69FFCE81">
      <w:pPr>
        <w:pStyle w:val="25"/>
        <w:adjustRightInd w:val="0"/>
        <w:snapToGrid w:val="0"/>
        <w:spacing w:line="380" w:lineRule="exact"/>
        <w:ind w:firstLine="480"/>
        <w:rPr>
          <w:rFonts w:hint="eastAsia" w:ascii="Times New Roman" w:eastAsia="宋体"/>
          <w:sz w:val="24"/>
          <w:szCs w:val="24"/>
          <w:highlight w:val="none"/>
        </w:rPr>
      </w:pPr>
      <w:r>
        <w:rPr>
          <w:rFonts w:hint="eastAsia" w:ascii="Times New Roman" w:eastAsia="宋体"/>
          <w:sz w:val="24"/>
          <w:szCs w:val="24"/>
          <w:highlight w:val="none"/>
        </w:rPr>
        <w:t>本次会计政策变更后，公司将按照财政部发布的《解释第1</w:t>
      </w:r>
      <w:r>
        <w:rPr>
          <w:rFonts w:hint="eastAsia" w:ascii="Times New Roman" w:eastAsia="宋体"/>
          <w:sz w:val="24"/>
          <w:szCs w:val="24"/>
          <w:highlight w:val="none"/>
          <w:lang w:val="en-US" w:eastAsia="zh-CN"/>
        </w:rPr>
        <w:t>9</w:t>
      </w:r>
      <w:r>
        <w:rPr>
          <w:rFonts w:hint="eastAsia" w:ascii="Times New Roman" w:eastAsia="宋体"/>
          <w:sz w:val="24"/>
          <w:szCs w:val="24"/>
          <w:highlight w:val="none"/>
        </w:rPr>
        <w:t>号》要求执行。除上述政策变更外，其他未变更部分，仍按照财政部前期颁布的《企业会计准则——基本准则》和各项具体会计准则、企业会计准则应用指南、企业会计准则解释公告以及其他相关规定执行。</w:t>
      </w:r>
    </w:p>
    <w:p w14:paraId="55B00A03">
      <w:pPr>
        <w:pStyle w:val="28"/>
        <w:snapToGrid w:val="0"/>
        <w:spacing w:line="380" w:lineRule="exact"/>
        <w:ind w:firstLine="482" w:firstLineChars="200"/>
        <w:outlineLvl w:val="0"/>
        <w:rPr>
          <w:rFonts w:ascii="Times New Roman" w:hAnsi="Times New Roman" w:cs="Times New Roman"/>
          <w:b/>
          <w:color w:val="auto"/>
        </w:rPr>
      </w:pPr>
      <w:r>
        <w:rPr>
          <w:rFonts w:ascii="Times New Roman" w:hAnsi="Times New Roman" w:cs="Times New Roman"/>
          <w:b/>
          <w:color w:val="auto"/>
        </w:rPr>
        <w:t>二、会计政策变更对公司的影响</w:t>
      </w:r>
    </w:p>
    <w:p w14:paraId="6A6771A0">
      <w:pPr>
        <w:pStyle w:val="25"/>
        <w:adjustRightInd w:val="0"/>
        <w:snapToGrid w:val="0"/>
        <w:spacing w:line="380" w:lineRule="exact"/>
        <w:ind w:firstLine="480"/>
        <w:rPr>
          <w:rFonts w:ascii="Times New Roman" w:eastAsia="宋体"/>
          <w:sz w:val="24"/>
          <w:szCs w:val="24"/>
        </w:rPr>
      </w:pPr>
      <w:r>
        <w:rPr>
          <w:rFonts w:hint="eastAsia" w:ascii="Times New Roman" w:eastAsia="宋体"/>
          <w:sz w:val="24"/>
          <w:szCs w:val="24"/>
        </w:rPr>
        <w:t>本次会计政策变更是公司根据财政部发布的《解释第1</w:t>
      </w:r>
      <w:r>
        <w:rPr>
          <w:rFonts w:hint="eastAsia" w:ascii="Times New Roman" w:eastAsia="宋体"/>
          <w:sz w:val="24"/>
          <w:szCs w:val="24"/>
          <w:lang w:val="en-US" w:eastAsia="zh-CN"/>
        </w:rPr>
        <w:t>9</w:t>
      </w:r>
      <w:r>
        <w:rPr>
          <w:rFonts w:hint="eastAsia" w:ascii="Times New Roman" w:eastAsia="宋体"/>
          <w:sz w:val="24"/>
          <w:szCs w:val="24"/>
        </w:rPr>
        <w:t>号》的要求进行的合理变更，执行该规定对公司202</w:t>
      </w:r>
      <w:r>
        <w:rPr>
          <w:rFonts w:hint="eastAsia" w:ascii="Times New Roman" w:eastAsia="宋体"/>
          <w:sz w:val="24"/>
          <w:szCs w:val="24"/>
          <w:lang w:val="en-US" w:eastAsia="zh-CN"/>
        </w:rPr>
        <w:t>5</w:t>
      </w:r>
      <w:r>
        <w:rPr>
          <w:rFonts w:hint="eastAsia" w:ascii="Times New Roman" w:eastAsia="宋体"/>
          <w:sz w:val="24"/>
          <w:szCs w:val="24"/>
        </w:rPr>
        <w:t>年度财务报表无影响</w:t>
      </w:r>
      <w:r>
        <w:rPr>
          <w:rFonts w:hint="eastAsia" w:ascii="Times New Roman" w:eastAsia="宋体"/>
          <w:sz w:val="24"/>
          <w:szCs w:val="24"/>
          <w:lang w:eastAsia="zh-CN"/>
        </w:rPr>
        <w:t>，</w:t>
      </w:r>
      <w:r>
        <w:rPr>
          <w:rFonts w:hint="eastAsia" w:ascii="Times New Roman" w:eastAsia="宋体"/>
          <w:sz w:val="24"/>
          <w:szCs w:val="24"/>
        </w:rPr>
        <w:t>变更后的会计政策能够更加客观、公允地反映公司的财务状况和经营成果，符合相关法律法规的规定和公司的实际情况，不涉及对公司以前年度的重大追溯调整</w:t>
      </w:r>
      <w:r>
        <w:rPr>
          <w:rFonts w:hint="eastAsia" w:ascii="Times New Roman" w:eastAsia="宋体"/>
          <w:sz w:val="24"/>
          <w:szCs w:val="24"/>
          <w:lang w:eastAsia="zh-CN"/>
        </w:rPr>
        <w:t>，</w:t>
      </w:r>
      <w:r>
        <w:rPr>
          <w:rFonts w:hint="eastAsia" w:ascii="Times New Roman" w:eastAsia="宋体"/>
          <w:sz w:val="24"/>
          <w:szCs w:val="24"/>
        </w:rPr>
        <w:t>不会对公司的财务状况、经营成果和现金流量产生重大影响，亦不存在损害公司及股东利益的情形。</w:t>
      </w:r>
    </w:p>
    <w:p w14:paraId="4944F12E">
      <w:pPr>
        <w:pStyle w:val="28"/>
        <w:snapToGrid w:val="0"/>
        <w:spacing w:line="380" w:lineRule="exact"/>
        <w:ind w:firstLine="480" w:firstLineChars="200"/>
        <w:rPr>
          <w:rFonts w:ascii="Times New Roman" w:hAnsi="Times New Roman" w:cs="Times New Roman"/>
          <w:color w:val="auto"/>
        </w:rPr>
      </w:pPr>
    </w:p>
    <w:p w14:paraId="67004D28">
      <w:pPr>
        <w:pStyle w:val="28"/>
        <w:snapToGrid w:val="0"/>
        <w:spacing w:line="380" w:lineRule="exact"/>
        <w:ind w:firstLine="480" w:firstLineChars="200"/>
        <w:rPr>
          <w:rFonts w:ascii="Times New Roman" w:hAnsi="Times New Roman" w:cs="Times New Roman"/>
          <w:color w:val="auto"/>
        </w:rPr>
      </w:pPr>
      <w:r>
        <w:rPr>
          <w:rFonts w:ascii="Times New Roman" w:hAnsi="Times New Roman" w:cs="Times New Roman"/>
          <w:color w:val="auto"/>
        </w:rPr>
        <w:t>特此公告。</w:t>
      </w:r>
    </w:p>
    <w:p w14:paraId="3B557227">
      <w:pPr>
        <w:pStyle w:val="28"/>
        <w:snapToGrid w:val="0"/>
        <w:spacing w:line="380" w:lineRule="exact"/>
        <w:ind w:firstLine="480" w:firstLineChars="200"/>
        <w:rPr>
          <w:rFonts w:ascii="Times New Roman" w:hAnsi="Times New Roman" w:cs="Times New Roman"/>
          <w:color w:val="auto"/>
        </w:rPr>
      </w:pPr>
    </w:p>
    <w:p w14:paraId="3D6CB1D8">
      <w:pPr>
        <w:adjustRightInd w:val="0"/>
        <w:snapToGrid w:val="0"/>
        <w:spacing w:line="380" w:lineRule="exact"/>
        <w:ind w:firstLine="477" w:firstLineChars="199"/>
        <w:jc w:val="right"/>
        <w:rPr>
          <w:sz w:val="24"/>
        </w:rPr>
      </w:pPr>
    </w:p>
    <w:p w14:paraId="441C7F25">
      <w:pPr>
        <w:adjustRightInd w:val="0"/>
        <w:snapToGrid w:val="0"/>
        <w:spacing w:line="380" w:lineRule="exact"/>
        <w:ind w:firstLine="477" w:firstLineChars="199"/>
        <w:jc w:val="right"/>
        <w:rPr>
          <w:sz w:val="24"/>
        </w:rPr>
      </w:pPr>
      <w:r>
        <w:rPr>
          <w:sz w:val="24"/>
        </w:rPr>
        <w:t>国家能源集团长源电力股份有限公司董事会</w:t>
      </w:r>
    </w:p>
    <w:p w14:paraId="0B5A2DA2">
      <w:pPr>
        <w:adjustRightInd w:val="0"/>
        <w:snapToGrid w:val="0"/>
        <w:spacing w:line="380" w:lineRule="exact"/>
        <w:ind w:firstLine="477" w:firstLineChars="199"/>
        <w:jc w:val="center"/>
        <w:outlineLvl w:val="0"/>
        <w:rPr>
          <w:sz w:val="24"/>
        </w:rPr>
      </w:pPr>
      <w:r>
        <w:rPr>
          <w:sz w:val="24"/>
        </w:rPr>
        <w:t xml:space="preserve">                         </w:t>
      </w:r>
      <w:r>
        <w:rPr>
          <w:sz w:val="24"/>
          <w:highlight w:val="none"/>
        </w:rPr>
        <w:t xml:space="preserve"> 202</w:t>
      </w:r>
      <w:r>
        <w:rPr>
          <w:rFonts w:hint="eastAsia"/>
          <w:sz w:val="24"/>
          <w:highlight w:val="none"/>
          <w:lang w:val="en-US" w:eastAsia="zh-CN"/>
        </w:rPr>
        <w:t>6</w:t>
      </w:r>
      <w:r>
        <w:rPr>
          <w:sz w:val="24"/>
          <w:highlight w:val="none"/>
        </w:rPr>
        <w:t>年</w:t>
      </w:r>
      <w:r>
        <w:rPr>
          <w:rFonts w:hint="eastAsia"/>
          <w:sz w:val="24"/>
          <w:highlight w:val="none"/>
          <w:lang w:val="en-US" w:eastAsia="zh-CN"/>
        </w:rPr>
        <w:t>4</w:t>
      </w:r>
      <w:r>
        <w:rPr>
          <w:sz w:val="24"/>
          <w:highlight w:val="none"/>
        </w:rPr>
        <w:t>月</w:t>
      </w:r>
      <w:r>
        <w:rPr>
          <w:rFonts w:hint="eastAsia"/>
          <w:sz w:val="24"/>
          <w:highlight w:val="none"/>
          <w:lang w:eastAsia="zh-CN"/>
        </w:rPr>
        <w:t>2</w:t>
      </w:r>
      <w:r>
        <w:rPr>
          <w:rFonts w:hint="eastAsia"/>
          <w:sz w:val="24"/>
          <w:highlight w:val="none"/>
          <w:lang w:val="en-US" w:eastAsia="zh-CN"/>
        </w:rPr>
        <w:t>4</w:t>
      </w:r>
      <w:r>
        <w:rPr>
          <w:sz w:val="24"/>
          <w:highlight w:val="none"/>
        </w:rPr>
        <w:t>日</w:t>
      </w:r>
    </w:p>
    <w:p w14:paraId="1B286C40">
      <w:pPr>
        <w:adjustRightInd w:val="0"/>
        <w:snapToGrid w:val="0"/>
        <w:rPr>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D51CB"/>
    <w:multiLevelType w:val="singleLevel"/>
    <w:tmpl w:val="AFCD51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EE6"/>
    <w:rsid w:val="000419D0"/>
    <w:rsid w:val="000B1D6E"/>
    <w:rsid w:val="000B2575"/>
    <w:rsid w:val="000D6CE6"/>
    <w:rsid w:val="00151C8B"/>
    <w:rsid w:val="001C1CBB"/>
    <w:rsid w:val="00226254"/>
    <w:rsid w:val="00323D4A"/>
    <w:rsid w:val="00374CB4"/>
    <w:rsid w:val="003D45C1"/>
    <w:rsid w:val="004155F1"/>
    <w:rsid w:val="004D2769"/>
    <w:rsid w:val="004D35D7"/>
    <w:rsid w:val="005041E0"/>
    <w:rsid w:val="005529E5"/>
    <w:rsid w:val="005B6724"/>
    <w:rsid w:val="006E0F57"/>
    <w:rsid w:val="007F0514"/>
    <w:rsid w:val="00894854"/>
    <w:rsid w:val="009304A1"/>
    <w:rsid w:val="00967714"/>
    <w:rsid w:val="00980B5B"/>
    <w:rsid w:val="009E51AC"/>
    <w:rsid w:val="00A32498"/>
    <w:rsid w:val="00A86B26"/>
    <w:rsid w:val="00A976F9"/>
    <w:rsid w:val="00AB681B"/>
    <w:rsid w:val="00B17FE2"/>
    <w:rsid w:val="00B61EE6"/>
    <w:rsid w:val="00BD1E93"/>
    <w:rsid w:val="00C936AC"/>
    <w:rsid w:val="00CB273A"/>
    <w:rsid w:val="00D70B7C"/>
    <w:rsid w:val="00E40B93"/>
    <w:rsid w:val="00E424DE"/>
    <w:rsid w:val="00E71855"/>
    <w:rsid w:val="00ED0124"/>
    <w:rsid w:val="00EF0A39"/>
    <w:rsid w:val="00F0449E"/>
    <w:rsid w:val="00F417D9"/>
    <w:rsid w:val="0119409E"/>
    <w:rsid w:val="01A80056"/>
    <w:rsid w:val="046D71A3"/>
    <w:rsid w:val="049820AD"/>
    <w:rsid w:val="07475105"/>
    <w:rsid w:val="0DAD5DE8"/>
    <w:rsid w:val="12325429"/>
    <w:rsid w:val="154048DA"/>
    <w:rsid w:val="154F67B8"/>
    <w:rsid w:val="17B31293"/>
    <w:rsid w:val="17D6745A"/>
    <w:rsid w:val="1855414F"/>
    <w:rsid w:val="18895289"/>
    <w:rsid w:val="1B6E48ED"/>
    <w:rsid w:val="1C167126"/>
    <w:rsid w:val="1C5346E4"/>
    <w:rsid w:val="1C7D1A4B"/>
    <w:rsid w:val="1EEB3666"/>
    <w:rsid w:val="1F1C73B7"/>
    <w:rsid w:val="20893D15"/>
    <w:rsid w:val="20D254D7"/>
    <w:rsid w:val="288941CB"/>
    <w:rsid w:val="2ADE0541"/>
    <w:rsid w:val="2DD37E03"/>
    <w:rsid w:val="2EA025A7"/>
    <w:rsid w:val="30707B77"/>
    <w:rsid w:val="30F16ECD"/>
    <w:rsid w:val="317033BD"/>
    <w:rsid w:val="335066B3"/>
    <w:rsid w:val="35CA3ADB"/>
    <w:rsid w:val="36D7409C"/>
    <w:rsid w:val="3807622A"/>
    <w:rsid w:val="38D705A3"/>
    <w:rsid w:val="393B141E"/>
    <w:rsid w:val="39AC6DEE"/>
    <w:rsid w:val="3AAA073F"/>
    <w:rsid w:val="3B104BBD"/>
    <w:rsid w:val="3C2278DD"/>
    <w:rsid w:val="40F41F87"/>
    <w:rsid w:val="4428176E"/>
    <w:rsid w:val="4582639A"/>
    <w:rsid w:val="460D763B"/>
    <w:rsid w:val="48D1223A"/>
    <w:rsid w:val="48F84D9F"/>
    <w:rsid w:val="49AC5DF1"/>
    <w:rsid w:val="4A1678E1"/>
    <w:rsid w:val="4A336625"/>
    <w:rsid w:val="4A947FBB"/>
    <w:rsid w:val="4B04356E"/>
    <w:rsid w:val="4CA97495"/>
    <w:rsid w:val="4D6D101A"/>
    <w:rsid w:val="4EE2784B"/>
    <w:rsid w:val="4F323DFA"/>
    <w:rsid w:val="50B502AC"/>
    <w:rsid w:val="54D05EA2"/>
    <w:rsid w:val="55FC3F81"/>
    <w:rsid w:val="569469CE"/>
    <w:rsid w:val="59DE6BC6"/>
    <w:rsid w:val="5AC81311"/>
    <w:rsid w:val="5B0F771B"/>
    <w:rsid w:val="5C7E0834"/>
    <w:rsid w:val="5DE8471D"/>
    <w:rsid w:val="60921E82"/>
    <w:rsid w:val="681C6464"/>
    <w:rsid w:val="6DFE6F1F"/>
    <w:rsid w:val="702628A5"/>
    <w:rsid w:val="705F1070"/>
    <w:rsid w:val="70973FA2"/>
    <w:rsid w:val="71286A35"/>
    <w:rsid w:val="746C01C1"/>
    <w:rsid w:val="751E14E5"/>
    <w:rsid w:val="763F02D4"/>
    <w:rsid w:val="76D71369"/>
    <w:rsid w:val="76FA325E"/>
    <w:rsid w:val="76FC2A78"/>
    <w:rsid w:val="776B3965"/>
    <w:rsid w:val="780F0F07"/>
    <w:rsid w:val="796204D6"/>
    <w:rsid w:val="7A380C19"/>
    <w:rsid w:val="7A473151"/>
    <w:rsid w:val="7A96762C"/>
    <w:rsid w:val="7C31256D"/>
    <w:rsid w:val="7C383C02"/>
    <w:rsid w:val="7CA32436"/>
    <w:rsid w:val="7D480D36"/>
    <w:rsid w:val="7E5E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spacing w:line="586" w:lineRule="exact"/>
      <w:jc w:val="center"/>
      <w:outlineLvl w:val="0"/>
    </w:pPr>
    <w:rPr>
      <w:rFonts w:ascii="方正小标宋简体" w:eastAsia="方正小标宋简体"/>
      <w:color w:val="000000"/>
      <w:sz w:val="44"/>
      <w:szCs w:val="44"/>
    </w:rPr>
  </w:style>
  <w:style w:type="paragraph" w:styleId="4">
    <w:name w:val="heading 2"/>
    <w:basedOn w:val="1"/>
    <w:next w:val="1"/>
    <w:link w:val="18"/>
    <w:qFormat/>
    <w:uiPriority w:val="0"/>
    <w:pPr>
      <w:spacing w:line="586" w:lineRule="exact"/>
      <w:ind w:firstLine="643" w:firstLineChars="200"/>
      <w:outlineLvl w:val="1"/>
    </w:pPr>
    <w:rPr>
      <w:rFonts w:ascii="黑体" w:eastAsia="黑体"/>
      <w:color w:val="000000"/>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unhideWhenUsed/>
    <w:qFormat/>
    <w:uiPriority w:val="99"/>
    <w:pPr>
      <w:jc w:val="left"/>
    </w:pPr>
  </w:style>
  <w:style w:type="paragraph" w:styleId="7">
    <w:name w:val="Body Text Indent"/>
    <w:basedOn w:val="1"/>
    <w:next w:val="8"/>
    <w:unhideWhenUsed/>
    <w:qFormat/>
    <w:uiPriority w:val="99"/>
    <w:pPr>
      <w:spacing w:line="360" w:lineRule="auto"/>
      <w:ind w:firstLine="640" w:firstLineChars="200"/>
    </w:pPr>
    <w:rPr>
      <w:rFonts w:ascii="仿宋_GB2312" w:hAnsi="宋体" w:eastAsia="仿宋_GB2312"/>
      <w:snapToGrid w:val="0"/>
      <w:kern w:val="0"/>
      <w:sz w:val="32"/>
      <w:szCs w:val="20"/>
    </w:rPr>
  </w:style>
  <w:style w:type="paragraph" w:styleId="8">
    <w:name w:val="envelope return"/>
    <w:basedOn w:val="1"/>
    <w:qFormat/>
    <w:uiPriority w:val="0"/>
    <w:pPr>
      <w:snapToGrid w:val="0"/>
    </w:pPr>
    <w:rPr>
      <w:rFonts w:ascii="Arial" w:hAnsi="Arial"/>
    </w:rPr>
  </w:style>
  <w:style w:type="paragraph" w:styleId="9">
    <w:name w:val="Body Text Indent 2"/>
    <w:basedOn w:val="1"/>
    <w:link w:val="17"/>
    <w:qFormat/>
    <w:uiPriority w:val="0"/>
    <w:pPr>
      <w:spacing w:after="120" w:line="480" w:lineRule="auto"/>
      <w:ind w:left="420" w:leftChars="200"/>
    </w:pPr>
  </w:style>
  <w:style w:type="paragraph" w:styleId="10">
    <w:name w:val="Balloon Text"/>
    <w:basedOn w:val="1"/>
    <w:link w:val="23"/>
    <w:semiHidden/>
    <w:qFormat/>
    <w:uiPriority w:val="99"/>
    <w:rPr>
      <w:rFonts w:ascii="Calibri" w:hAnsi="Calibri"/>
      <w:sz w:val="18"/>
      <w:szCs w:val="18"/>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7"/>
    <w:next w:val="1"/>
    <w:qFormat/>
    <w:uiPriority w:val="0"/>
    <w:pPr>
      <w:spacing w:line="240" w:lineRule="auto"/>
      <w:ind w:firstLine="420" w:firstLineChars="0"/>
    </w:pPr>
    <w:rPr>
      <w:szCs w:val="24"/>
    </w:rPr>
  </w:style>
  <w:style w:type="character" w:customStyle="1" w:styleId="17">
    <w:name w:val="正文文本缩进 2 字符"/>
    <w:basedOn w:val="16"/>
    <w:link w:val="9"/>
    <w:qFormat/>
    <w:uiPriority w:val="0"/>
    <w:rPr>
      <w:rFonts w:ascii="Times New Roman" w:hAnsi="Times New Roman" w:eastAsia="宋体" w:cs="Times New Roman"/>
      <w:szCs w:val="24"/>
    </w:rPr>
  </w:style>
  <w:style w:type="character" w:customStyle="1" w:styleId="18">
    <w:name w:val="标题 2 字符"/>
    <w:basedOn w:val="16"/>
    <w:link w:val="4"/>
    <w:qFormat/>
    <w:uiPriority w:val="0"/>
    <w:rPr>
      <w:rFonts w:ascii="黑体" w:hAnsi="Times New Roman" w:eastAsia="黑体" w:cs="Times New Roman"/>
      <w:b/>
      <w:color w:val="000000"/>
      <w:sz w:val="32"/>
      <w:szCs w:val="32"/>
    </w:rPr>
  </w:style>
  <w:style w:type="character" w:customStyle="1" w:styleId="19">
    <w:name w:val="页脚 字符"/>
    <w:basedOn w:val="16"/>
    <w:link w:val="11"/>
    <w:qFormat/>
    <w:uiPriority w:val="99"/>
    <w:rPr>
      <w:rFonts w:ascii="Times New Roman" w:hAnsi="Times New Roman" w:eastAsia="宋体" w:cs="Times New Roman"/>
      <w:sz w:val="18"/>
      <w:szCs w:val="18"/>
    </w:rPr>
  </w:style>
  <w:style w:type="character" w:customStyle="1" w:styleId="20">
    <w:name w:val="标题 1 字符"/>
    <w:basedOn w:val="16"/>
    <w:link w:val="3"/>
    <w:qFormat/>
    <w:uiPriority w:val="0"/>
    <w:rPr>
      <w:rFonts w:ascii="方正小标宋简体" w:hAnsi="Times New Roman" w:eastAsia="方正小标宋简体" w:cs="Times New Roman"/>
      <w:color w:val="000000"/>
      <w:sz w:val="44"/>
      <w:szCs w:val="44"/>
    </w:rPr>
  </w:style>
  <w:style w:type="character" w:customStyle="1" w:styleId="21">
    <w:name w:val="标题 3 字符"/>
    <w:basedOn w:val="16"/>
    <w:link w:val="5"/>
    <w:semiHidden/>
    <w:qFormat/>
    <w:uiPriority w:val="9"/>
    <w:rPr>
      <w:rFonts w:ascii="Times New Roman" w:hAnsi="Times New Roman" w:eastAsia="宋体" w:cs="Times New Roman"/>
      <w:b/>
      <w:bCs/>
      <w:sz w:val="32"/>
      <w:szCs w:val="32"/>
    </w:rPr>
  </w:style>
  <w:style w:type="character" w:customStyle="1" w:styleId="22">
    <w:name w:val="页眉 字符"/>
    <w:basedOn w:val="16"/>
    <w:link w:val="12"/>
    <w:semiHidden/>
    <w:qFormat/>
    <w:uiPriority w:val="99"/>
    <w:rPr>
      <w:rFonts w:ascii="Times New Roman" w:hAnsi="Times New Roman" w:eastAsia="宋体" w:cs="Times New Roman"/>
      <w:sz w:val="18"/>
      <w:szCs w:val="18"/>
    </w:rPr>
  </w:style>
  <w:style w:type="character" w:customStyle="1" w:styleId="23">
    <w:name w:val="批注框文本 字符"/>
    <w:basedOn w:val="16"/>
    <w:link w:val="10"/>
    <w:semiHidden/>
    <w:qFormat/>
    <w:uiPriority w:val="99"/>
    <w:rPr>
      <w:rFonts w:ascii="Calibri" w:hAnsi="Calibri" w:eastAsia="宋体" w:cs="Times New Roman"/>
      <w:sz w:val="18"/>
      <w:szCs w:val="18"/>
    </w:rPr>
  </w:style>
  <w:style w:type="character" w:customStyle="1" w:styleId="24">
    <w:name w:val="正文格式 Char"/>
    <w:link w:val="25"/>
    <w:qFormat/>
    <w:uiPriority w:val="0"/>
    <w:rPr>
      <w:rFonts w:ascii="仿宋_GB2312" w:hAnsi="Times New Roman" w:eastAsia="仿宋_GB2312" w:cs="Times New Roman"/>
      <w:color w:val="000000"/>
      <w:sz w:val="32"/>
      <w:szCs w:val="32"/>
    </w:rPr>
  </w:style>
  <w:style w:type="paragraph" w:customStyle="1" w:styleId="25">
    <w:name w:val="正文格式"/>
    <w:basedOn w:val="1"/>
    <w:link w:val="24"/>
    <w:qFormat/>
    <w:uiPriority w:val="0"/>
    <w:pPr>
      <w:spacing w:line="586" w:lineRule="exact"/>
      <w:ind w:firstLine="640" w:firstLineChars="200"/>
    </w:pPr>
    <w:rPr>
      <w:rFonts w:ascii="仿宋_GB2312" w:eastAsia="仿宋_GB2312"/>
      <w:color w:val="000000"/>
      <w:kern w:val="0"/>
      <w:sz w:val="32"/>
      <w:szCs w:val="32"/>
    </w:rPr>
  </w:style>
  <w:style w:type="paragraph" w:customStyle="1" w:styleId="26">
    <w:name w:val="11年报正文11"/>
    <w:basedOn w:val="1"/>
    <w:qFormat/>
    <w:uiPriority w:val="0"/>
    <w:pPr>
      <w:spacing w:before="40" w:after="40" w:line="400" w:lineRule="exact"/>
      <w:ind w:firstLine="480" w:firstLineChars="200"/>
      <w:textAlignment w:val="center"/>
    </w:pPr>
    <w:rPr>
      <w:rFonts w:ascii="宋体" w:hAnsi="宋体" w:cs="宋体"/>
      <w:sz w:val="24"/>
    </w:rPr>
  </w:style>
  <w:style w:type="paragraph" w:styleId="27">
    <w:name w:val="List Paragraph"/>
    <w:basedOn w:val="1"/>
    <w:qFormat/>
    <w:uiPriority w:val="99"/>
    <w:pPr>
      <w:ind w:firstLine="420" w:firstLineChars="200"/>
    </w:p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29">
    <w:name w:val="立信年报表格 [2级]"/>
    <w:basedOn w:val="15"/>
    <w:qFormat/>
    <w:uiPriority w:val="0"/>
    <w:pPr>
      <w:spacing w:line="400" w:lineRule="atLeast"/>
      <w:jc w:val="both"/>
    </w:pPr>
    <w:rPr>
      <w:color w:val="000000"/>
      <w:sz w:val="18"/>
      <w:szCs w:val="21"/>
    </w:rPr>
    <w:tblPr>
      <w:tblBorders>
        <w:top w:val="single" w:color="auto" w:sz="12" w:space="0"/>
        <w:bottom w:val="single" w:color="auto" w:sz="12" w:space="0"/>
        <w:insideH w:val="dotted" w:color="auto" w:sz="4" w:space="0"/>
        <w:insideV w:val="dotted" w:color="auto" w:sz="4" w:space="0"/>
      </w:tblBorders>
    </w:tblPr>
    <w:tcPr>
      <w:shd w:val="clear" w:color="auto" w:fill="auto"/>
    </w:tcPr>
  </w:style>
  <w:style w:type="table" w:customStyle="1" w:styleId="30">
    <w:name w:val="报表格式"/>
    <w:basedOn w:val="15"/>
    <w:qFormat/>
    <w:uiPriority w:val="99"/>
    <w:pPr>
      <w:jc w:val="center"/>
    </w:pPr>
    <w:rPr>
      <w:rFonts w:ascii="Calibri" w:hAnsi="Calibri"/>
    </w:rPr>
    <w:tblPr>
      <w:tblBorders>
        <w:top w:val="single" w:color="0C0C0C" w:sz="12" w:space="0"/>
        <w:bottom w:val="single" w:color="0C0C0C" w:sz="12" w:space="0"/>
      </w:tblBorders>
    </w:tblPr>
    <w:tcPr>
      <w:vAlign w:val="center"/>
    </w:tcPr>
    <w:tblStylePr w:type="firstRow">
      <w:pPr>
        <w:jc w:val="center"/>
      </w:pPr>
      <w:tcPr>
        <w:tcBorders>
          <w:top w:val="nil"/>
          <w:left w:val="nil"/>
          <w:bottom w:val="dotted" w:color="auto" w:sz="4" w:space="0"/>
          <w:right w:val="nil"/>
          <w:insideH w:val="nil"/>
          <w:insideV w:val="nil"/>
          <w:tl2br w:val="nil"/>
          <w:tr2bl w:val="nil"/>
        </w:tcBorders>
      </w:tcPr>
    </w:tblStylePr>
    <w:tblStylePr w:type="lastRow">
      <w:pPr>
        <w:jc w:val="both"/>
      </w:pPr>
    </w:tblStylePr>
    <w:tblStylePr w:type="firstCol">
      <w:pPr>
        <w:jc w:val="both"/>
      </w:pPr>
    </w:tblStylePr>
  </w:style>
  <w:style w:type="paragraph" w:customStyle="1" w:styleId="31">
    <w:name w:val="立信附注正文 [3级]"/>
    <w:qFormat/>
    <w:uiPriority w:val="0"/>
    <w:pPr>
      <w:widowControl w:val="0"/>
      <w:tabs>
        <w:tab w:val="left" w:pos="0"/>
      </w:tabs>
      <w:adjustRightInd w:val="0"/>
      <w:snapToGrid w:val="0"/>
      <w:spacing w:line="400" w:lineRule="atLeast"/>
      <w:ind w:left="1276"/>
      <w:jc w:val="both"/>
    </w:pPr>
    <w:rPr>
      <w:rFonts w:ascii="Times New Roman" w:hAnsi="Times New Roman"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371</Words>
  <Characters>2120</Characters>
  <Lines>17</Lines>
  <Paragraphs>4</Paragraphs>
  <TotalTime>7</TotalTime>
  <ScaleCrop>false</ScaleCrop>
  <LinksUpToDate>false</LinksUpToDate>
  <CharactersWithSpaces>2487</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2015-04-16T07:20:00Z</dcterms:created>
  <dc:creator>汪卉/国电长源电力股份有限公司</dc:creator>
  <cp:lastModifiedBy>叶建兵</cp:lastModifiedBy>
  <dcterms:modified xsi:type="dcterms:W3CDTF">2026-04-23T03:07:29Z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75A9EC8484DF4305ADAB6C1CCC298E8D</vt:lpwstr>
  </property>
</Properties>
</file>