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0DAE">
      <w:pPr>
        <w:tabs>
          <w:tab w:val="left" w:pos="993"/>
        </w:tabs>
        <w:autoSpaceDE w:val="0"/>
        <w:autoSpaceDN w:val="0"/>
        <w:adjustRightInd w:val="0"/>
        <w:snapToGrid w:val="0"/>
        <w:spacing w:after="0" w:line="440" w:lineRule="exact"/>
        <w:rPr>
          <w:rFonts w:hint="default" w:ascii="Times New Roman" w:hAnsi="Times New Roman" w:cs="Times New Roman"/>
          <w:color w:val="000000"/>
          <w:sz w:val="24"/>
          <w:szCs w:val="21"/>
          <w:lang w:val="en-US" w:eastAsia="zh-CN"/>
        </w:rPr>
      </w:pPr>
      <w:r>
        <w:rPr>
          <w:rFonts w:hint="default" w:ascii="Times New Roman" w:hAnsi="Times New Roman" w:cs="Times New Roman"/>
          <w:color w:val="000000"/>
          <w:sz w:val="24"/>
          <w:szCs w:val="21"/>
          <w:lang w:eastAsia="zh-CN"/>
        </w:rPr>
        <w:t>证券代码：000966</w:t>
      </w:r>
      <w:r>
        <w:rPr>
          <w:rFonts w:hint="default" w:ascii="Times New Roman" w:hAnsi="Times New Roman" w:cs="Times New Roman"/>
          <w:color w:val="000000"/>
          <w:sz w:val="24"/>
          <w:szCs w:val="21"/>
          <w:lang w:eastAsia="zh-CN"/>
        </w:rPr>
        <w:tab/>
      </w:r>
      <w:r>
        <w:rPr>
          <w:rFonts w:hint="default" w:ascii="Times New Roman" w:hAnsi="Times New Roman" w:eastAsia="宋体" w:cs="Times New Roman"/>
          <w:color w:val="000000"/>
          <w:sz w:val="24"/>
          <w:szCs w:val="21"/>
          <w:lang w:eastAsia="zh-CN"/>
        </w:rPr>
        <w:t xml:space="preserve">     </w:t>
      </w:r>
      <w:r>
        <w:rPr>
          <w:rFonts w:hint="default" w:ascii="Times New Roman" w:hAnsi="Times New Roman" w:eastAsia="宋体" w:cs="Times New Roman"/>
          <w:color w:val="000000"/>
          <w:sz w:val="24"/>
          <w:szCs w:val="21"/>
          <w:lang w:val="en-US" w:eastAsia="zh-CN"/>
        </w:rPr>
        <w:t xml:space="preserve">       </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cs="Times New Roman"/>
          <w:color w:val="000000"/>
          <w:sz w:val="24"/>
          <w:szCs w:val="21"/>
          <w:lang w:eastAsia="zh-CN"/>
        </w:rPr>
        <w:t>证券简称：长源电力</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eastAsia="宋体" w:cs="Times New Roman"/>
          <w:color w:val="000000"/>
          <w:sz w:val="24"/>
          <w:szCs w:val="21"/>
          <w:lang w:val="en-US" w:eastAsia="zh-CN"/>
        </w:rPr>
        <w:t xml:space="preserve">         </w:t>
      </w:r>
      <w:r>
        <w:rPr>
          <w:rFonts w:hint="default" w:ascii="Times New Roman" w:hAnsi="Times New Roman" w:eastAsia="宋体" w:cs="Times New Roman"/>
          <w:color w:val="000000"/>
          <w:sz w:val="24"/>
          <w:szCs w:val="21"/>
          <w:lang w:eastAsia="zh-CN"/>
        </w:rPr>
        <w:t xml:space="preserve">   </w:t>
      </w:r>
      <w:r>
        <w:rPr>
          <w:rFonts w:hint="default" w:ascii="Times New Roman" w:hAnsi="Times New Roman" w:cs="Times New Roman"/>
          <w:color w:val="000000"/>
          <w:sz w:val="24"/>
          <w:szCs w:val="21"/>
          <w:lang w:eastAsia="zh-CN"/>
        </w:rPr>
        <w:t>公告编号：202</w:t>
      </w:r>
      <w:r>
        <w:rPr>
          <w:rFonts w:hint="eastAsia" w:ascii="Times New Roman" w:hAnsi="Times New Roman" w:cs="Times New Roman"/>
          <w:color w:val="000000"/>
          <w:sz w:val="24"/>
          <w:szCs w:val="21"/>
          <w:lang w:val="en-US" w:eastAsia="zh-CN"/>
        </w:rPr>
        <w:t>6</w:t>
      </w:r>
      <w:r>
        <w:rPr>
          <w:rFonts w:hint="default" w:ascii="Times New Roman" w:hAnsi="Times New Roman" w:cs="Times New Roman"/>
          <w:color w:val="000000"/>
          <w:sz w:val="24"/>
          <w:szCs w:val="21"/>
          <w:lang w:val="en-US" w:eastAsia="zh-CN"/>
        </w:rPr>
        <w:t>-0</w:t>
      </w:r>
      <w:r>
        <w:rPr>
          <w:rFonts w:hint="eastAsia" w:ascii="Times New Roman" w:hAnsi="Times New Roman" w:cs="Times New Roman"/>
          <w:color w:val="000000"/>
          <w:sz w:val="24"/>
          <w:szCs w:val="21"/>
          <w:lang w:val="en-US" w:eastAsia="zh-CN"/>
        </w:rPr>
        <w:t>25</w:t>
      </w:r>
    </w:p>
    <w:p w14:paraId="3D1E3466">
      <w:pPr>
        <w:autoSpaceDE w:val="0"/>
        <w:autoSpaceDN w:val="0"/>
        <w:spacing w:after="0" w:line="440" w:lineRule="exact"/>
        <w:contextualSpacing/>
        <w:jc w:val="center"/>
        <w:rPr>
          <w:rFonts w:hint="default" w:ascii="Times New Roman" w:hAnsi="Times New Roman" w:eastAsia="方正小标宋简体" w:cs="Times New Roman"/>
          <w:sz w:val="32"/>
          <w:szCs w:val="32"/>
          <w:lang w:eastAsia="zh-CN"/>
        </w:rPr>
      </w:pPr>
    </w:p>
    <w:p w14:paraId="4D8D1886">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国家能源集团长源电力股份有限公司</w:t>
      </w:r>
      <w:bookmarkStart w:id="0" w:name="_GoBack"/>
      <w:bookmarkEnd w:id="0"/>
    </w:p>
    <w:p w14:paraId="07BBF75A">
      <w:pPr>
        <w:adjustRightInd w:val="0"/>
        <w:snapToGrid w:val="0"/>
        <w:spacing w:after="0" w:line="440" w:lineRule="exact"/>
        <w:jc w:val="center"/>
        <w:rPr>
          <w:rFonts w:hint="default"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32"/>
          <w:szCs w:val="32"/>
          <w:lang w:val="en-US" w:eastAsia="zh-CN"/>
        </w:rPr>
        <w:t>关于</w:t>
      </w:r>
      <w:r>
        <w:rPr>
          <w:rFonts w:hint="default" w:ascii="Times New Roman" w:hAnsi="Times New Roman" w:eastAsia="方正小标宋简体" w:cs="Times New Roman"/>
          <w:sz w:val="32"/>
          <w:szCs w:val="32"/>
          <w:lang w:eastAsia="zh-CN"/>
        </w:rPr>
        <w:t>“质量回报双提升”行动方案实施进展情况</w:t>
      </w:r>
    </w:p>
    <w:p w14:paraId="62891AD0">
      <w:pPr>
        <w:adjustRightInd w:val="0"/>
        <w:snapToGrid w:val="0"/>
        <w:spacing w:after="0" w:line="440" w:lineRule="exact"/>
        <w:jc w:val="center"/>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sz w:val="32"/>
          <w:szCs w:val="32"/>
          <w:lang w:eastAsia="zh-CN"/>
        </w:rPr>
        <w:t>专项评估</w:t>
      </w:r>
      <w:r>
        <w:rPr>
          <w:rFonts w:hint="eastAsia" w:ascii="Times New Roman" w:hAnsi="Times New Roman" w:eastAsia="方正小标宋简体" w:cs="Times New Roman"/>
          <w:sz w:val="32"/>
          <w:szCs w:val="32"/>
          <w:lang w:val="en-US" w:eastAsia="zh-CN"/>
        </w:rPr>
        <w:t>的公告</w:t>
      </w:r>
    </w:p>
    <w:p w14:paraId="7950A0CF">
      <w:pPr>
        <w:adjustRightInd w:val="0"/>
        <w:snapToGrid w:val="0"/>
        <w:spacing w:after="0" w:line="440" w:lineRule="exact"/>
        <w:jc w:val="center"/>
        <w:rPr>
          <w:rFonts w:hint="default" w:ascii="Times New Roman" w:hAnsi="Times New Roman" w:eastAsia="方正小标宋简体" w:cs="Times New Roman"/>
          <w:sz w:val="32"/>
          <w:szCs w:val="32"/>
          <w:lang w:eastAsia="zh-CN"/>
        </w:rPr>
      </w:pPr>
    </w:p>
    <w:tbl>
      <w:tblPr>
        <w:tblStyle w:val="12"/>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0"/>
      </w:tblGrid>
      <w:tr w14:paraId="3CFB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610" w:type="dxa"/>
          </w:tcPr>
          <w:p w14:paraId="6B8A4AA8">
            <w:pPr>
              <w:autoSpaceDE w:val="0"/>
              <w:autoSpaceDN w:val="0"/>
              <w:adjustRightInd w:val="0"/>
              <w:snapToGrid w:val="0"/>
              <w:spacing w:line="380" w:lineRule="exact"/>
              <w:ind w:right="-194" w:rightChars="-88" w:firstLine="480" w:firstLineChars="200"/>
              <w:rPr>
                <w:rFonts w:hint="default" w:ascii="Times New Roman" w:hAnsi="Times New Roman" w:cs="Times New Roman"/>
                <w:sz w:val="24"/>
                <w:lang w:eastAsia="zh-CN"/>
              </w:rPr>
            </w:pPr>
            <w:r>
              <w:rPr>
                <w:rFonts w:hint="default" w:ascii="Times New Roman" w:hAnsi="Times New Roman" w:cs="Times New Roman"/>
                <w:color w:val="000000"/>
                <w:sz w:val="24"/>
                <w:szCs w:val="28"/>
                <w:lang w:eastAsia="zh-CN"/>
              </w:rPr>
              <w:t>本公司及董事会全体成员保证信息披露的内容真实、准确、完整，没有虚假记载、误导性陈述或重大遗漏。</w:t>
            </w:r>
          </w:p>
        </w:tc>
      </w:tr>
    </w:tbl>
    <w:p w14:paraId="7DCDC707">
      <w:pPr>
        <w:spacing w:line="380" w:lineRule="exact"/>
        <w:contextualSpacing/>
        <w:rPr>
          <w:rFonts w:hint="default" w:ascii="Times New Roman" w:hAnsi="Times New Roman" w:cs="Times New Roman"/>
          <w:b/>
          <w:sz w:val="24"/>
          <w:lang w:eastAsia="zh-CN"/>
        </w:rPr>
      </w:pPr>
    </w:p>
    <w:p w14:paraId="3B50F4AB">
      <w:pPr>
        <w:widowControl/>
        <w:spacing w:after="0" w:line="400" w:lineRule="exact"/>
        <w:ind w:firstLine="480" w:firstLineChars="200"/>
        <w:jc w:val="left"/>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为贯彻落实深圳证券交易所“质量回报双提升”专项行动的要求，积极维护公司全体股东利益，增强投资者信心，提高公司质量和投资价值，经公司第十届董事会第三十一次会议审议通过，公司于2025年3月制定了“质量回报双提升”行动方案并完成了信息披露。根据深圳证券交易所《关于深入开展深市公司“质量回报双提升”专项行动的倡议》的相关工作要求，公司应当在年报、半年报披露时对实施进展进行专项评估，作为单独议案提交董事会审议并披露。公司2025年度“质量回报双提升”行动方案的实施进展专项评估情况如下：</w:t>
      </w:r>
    </w:p>
    <w:p w14:paraId="439D5A4B">
      <w:pPr>
        <w:widowControl/>
        <w:spacing w:after="0" w:line="380" w:lineRule="exact"/>
        <w:ind w:firstLine="482" w:firstLineChars="200"/>
        <w:jc w:val="both"/>
        <w:rPr>
          <w:rFonts w:hint="default" w:ascii="Times New Roman" w:hAnsi="Times New Roman" w:eastAsia="宋体" w:cs="Times New Roman"/>
          <w:b/>
          <w:bCs/>
          <w:color w:val="000000"/>
          <w:kern w:val="2"/>
          <w:sz w:val="24"/>
          <w:szCs w:val="24"/>
          <w:lang w:eastAsia="zh-CN"/>
        </w:rPr>
      </w:pPr>
      <w:r>
        <w:rPr>
          <w:rFonts w:hint="default" w:ascii="Times New Roman" w:hAnsi="Times New Roman" w:eastAsia="宋体" w:cs="Times New Roman"/>
          <w:b/>
          <w:bCs/>
          <w:color w:val="000000"/>
          <w:kern w:val="2"/>
          <w:sz w:val="24"/>
          <w:szCs w:val="24"/>
          <w:lang w:eastAsia="zh-CN"/>
        </w:rPr>
        <w:fldChar w:fldCharType="begin"/>
      </w:r>
      <w:r>
        <w:rPr>
          <w:rFonts w:hint="default" w:ascii="Times New Roman" w:hAnsi="Times New Roman" w:eastAsia="宋体" w:cs="Times New Roman"/>
          <w:b/>
          <w:bCs/>
          <w:color w:val="000000"/>
          <w:kern w:val="2"/>
          <w:sz w:val="24"/>
          <w:szCs w:val="24"/>
          <w:lang w:eastAsia="zh-CN"/>
        </w:rPr>
        <w:instrText xml:space="preserve"> DOCVARIABLE 附注一级 \* MERGEFORMAT </w:instrText>
      </w:r>
      <w:r>
        <w:rPr>
          <w:rFonts w:hint="default" w:ascii="Times New Roman" w:hAnsi="Times New Roman" w:eastAsia="宋体" w:cs="Times New Roman"/>
          <w:b/>
          <w:bCs/>
          <w:color w:val="000000"/>
          <w:kern w:val="2"/>
          <w:sz w:val="24"/>
          <w:szCs w:val="24"/>
          <w:lang w:eastAsia="zh-CN"/>
        </w:rPr>
        <w:fldChar w:fldCharType="separate"/>
      </w:r>
      <w:r>
        <w:rPr>
          <w:rFonts w:hint="default" w:ascii="Times New Roman" w:hAnsi="Times New Roman" w:eastAsia="宋体" w:cs="Times New Roman"/>
          <w:b/>
          <w:bCs/>
          <w:color w:val="000000"/>
          <w:kern w:val="2"/>
          <w:sz w:val="24"/>
          <w:szCs w:val="24"/>
          <w:lang w:eastAsia="zh-CN"/>
        </w:rPr>
        <w:t>一、</w:t>
      </w:r>
      <w:r>
        <w:rPr>
          <w:rFonts w:hint="default" w:ascii="Times New Roman" w:hAnsi="Times New Roman" w:eastAsia="宋体" w:cs="Times New Roman"/>
          <w:b/>
          <w:bCs/>
          <w:color w:val="000000"/>
          <w:kern w:val="2"/>
          <w:sz w:val="24"/>
          <w:szCs w:val="24"/>
          <w:lang w:eastAsia="zh-CN"/>
        </w:rPr>
        <w:fldChar w:fldCharType="end"/>
      </w:r>
      <w:r>
        <w:rPr>
          <w:rFonts w:hint="default" w:ascii="Times New Roman" w:hAnsi="Times New Roman" w:eastAsia="宋体" w:cs="Times New Roman"/>
          <w:b/>
          <w:bCs/>
          <w:color w:val="000000"/>
          <w:kern w:val="2"/>
          <w:sz w:val="24"/>
          <w:szCs w:val="24"/>
          <w:lang w:eastAsia="zh-CN"/>
        </w:rPr>
        <w:t>聚焦主责主业，高质量发展取得积极进展</w:t>
      </w:r>
    </w:p>
    <w:p w14:paraId="7B74100D">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cs="Times New Roman"/>
          <w:color w:val="auto"/>
          <w:sz w:val="24"/>
          <w:szCs w:val="24"/>
        </w:rPr>
        <w:t>公司积极应对挑战，保持战略定力，紧扣高质量发展主题，围绕主责主业，坚定不移推动公司做强做优做大。截至2025年12月底，公司可控总装机容量1260.25万千瓦，其中火电931万千瓦，水电57.37万千瓦，风电21.4万千瓦，光伏243.32万千瓦，生物质2.16万千瓦。公司装机容量占湖北全省发电装机容量13901.45万千瓦（含三峡2,240万千瓦）的9.07%，公司火电装机容量占湖北全省火电装</w:t>
      </w:r>
      <w:r>
        <w:rPr>
          <w:rFonts w:hint="default" w:ascii="Times New Roman" w:hAnsi="Times New Roman" w:eastAsia="宋体" w:cs="Times New Roman"/>
          <w:kern w:val="2"/>
          <w:sz w:val="24"/>
          <w:szCs w:val="24"/>
          <w:lang w:eastAsia="zh-CN"/>
        </w:rPr>
        <w:t>机容量4543.37万千瓦的20.49%。全年新增优质煤电装机100万千瓦，持续推动绿色低碳转型，新增新能源装机39.14万千瓦，可再生能源装机占比达到26.13%。2025年全年，公司共完成发电量344.4亿千瓦时，同比减少14.12%，其中火电发电量同比减少16.66%，水电发电量同比增加19.18%，风电发电量同比减少12.32%，光伏发电量同比增加3.46%。受发电量与售电均价同比下降的影响，公司2025年业绩有所下滑，全年实现营业收入135.28亿元，同比下降22.21%，实现归属上市公司股东的净利润-0.66亿元，同比下降109.25%。</w:t>
      </w:r>
    </w:p>
    <w:p w14:paraId="455A8A9B">
      <w:pPr>
        <w:widowControl/>
        <w:spacing w:after="0" w:line="380" w:lineRule="exact"/>
        <w:ind w:firstLine="480" w:firstLineChars="200"/>
        <w:jc w:val="both"/>
        <w:rPr>
          <w:rFonts w:hint="default" w:ascii="Times New Roman" w:hAnsi="Times New Roman" w:cs="Times New Roman"/>
          <w:color w:val="auto"/>
          <w:sz w:val="24"/>
          <w:szCs w:val="24"/>
        </w:rPr>
      </w:pPr>
      <w:r>
        <w:rPr>
          <w:rFonts w:hint="default" w:ascii="Times New Roman" w:hAnsi="Times New Roman" w:eastAsia="宋体" w:cs="Times New Roman"/>
          <w:kern w:val="2"/>
          <w:sz w:val="24"/>
          <w:szCs w:val="24"/>
          <w:lang w:eastAsia="zh-CN"/>
        </w:rPr>
        <w:t>针对亏损局面，公司采取多种措施进行减亏增效。对火电板块，着力提升中长期电量与辅助服务收益，严控燃料及运维成本；对水电板块，优化调度与水位控制，争取辅助服务补偿；对新能源板块，加快提升功率预测精度、加强设备治理与电费回收，全力推动公司经营业绩提升，助力健康可持续高质量发展</w:t>
      </w:r>
      <w:r>
        <w:rPr>
          <w:rFonts w:hint="default" w:ascii="Times New Roman" w:hAnsi="Times New Roman" w:cs="Times New Roman"/>
          <w:color w:val="auto"/>
          <w:sz w:val="24"/>
          <w:szCs w:val="24"/>
        </w:rPr>
        <w:t>。</w:t>
      </w:r>
    </w:p>
    <w:p w14:paraId="33B7E067">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二、强化资本运营，助力绿色低碳转型发展</w:t>
      </w:r>
    </w:p>
    <w:p w14:paraId="141653A8">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2024年12月3日，公司向特定对象发行股票项目（以下简称再融资）新增股份成功上市。本次再融资向16名特定投资者发行A股普通股731,707,317股，全额募足30亿元，募集资金用于10个光伏发电项目建设及补充流动资金，再融资发行取得圆满成功。本次再融资是提高上市公司质量、推动清洁低碳转型发展的重要举措，充分发挥了上市公司进行权益融资、优化装机结构、降低负债压力的功能作用，同时也是双碳目标提出以来，湖北省首家开展再融资用于新能源项目建设的能源电力类上市公司，充分彰显了公司绿色转型发展的决心和成效。</w:t>
      </w:r>
    </w:p>
    <w:p w14:paraId="6AC90C8F">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2025年，公司严格按照相关监管要求进行募集资金的使用与管理，定期披露募集资金存放、管理与使用情况的专项报告，规范完成节余募集资金永久补充流动资金、部分募投项目实施主体变更及募集资金账户注销等重点工作，确保募集资金的使用依法合规。</w:t>
      </w:r>
    </w:p>
    <w:p w14:paraId="29DE72A6">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三、强化公司治理，提升规范运作水平</w:t>
      </w:r>
    </w:p>
    <w:p w14:paraId="640FE608">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2025年，公司认真按照《公司法》《证券法》等法律法规，以及中国证监会、深圳证券交易所发布的有关部门规章、规范性文件要求，修订完善《公司章程》，不断完善法人治理结构，健全内部控制体系，促进公司规范运作，提高治理水平。公司股东会、董事会、董事会审计与风险委员会和经理层均严格依照法律、法规和《公司章程》等有关规定依法行权履职。公司分层分类建设各级董事会，着力建设科学理性高效董事会，充分发挥董事会“定战略、作决策、防风险”的作用。动态调整决策事项权责清单，修订公司董事会授权管理办法，进一步规范董事会授权，定期报告董事会授权行权及执行情况，完善公司治理相关方的权责。完成董事会换届工作，新增1名职工董事，聘任高级管理人员。公司独立董事严格按照证券监管规定，保持独立，认真履职，召开独立董事专门会议6次，充分发挥了“参与决策、监督制衡、专业咨询”作用，有力维护了公司整体利益，保护了中小股东合法权益。</w:t>
      </w:r>
    </w:p>
    <w:p w14:paraId="5D10D84A">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持续夯实治理基础，开展制度建设专项行动，健全完善以公司章程为基础的内部规章制度体系。持续完善公司制度体系，编制完成了本部现行有效制度汇编。进一步健全合规运行机制，制发《公司2025年法治合规工作要点》《深化合规治理专项行动方案》并抓好落实，突出抓好合规流程管控，定期开展合规风险排查和数据采集工作，有效提升依法合规经营水平。</w:t>
      </w:r>
    </w:p>
    <w:p w14:paraId="6AB30BFE">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b/>
          <w:bCs/>
          <w:kern w:val="2"/>
          <w:sz w:val="24"/>
          <w:szCs w:val="24"/>
          <w:lang w:eastAsia="zh-CN"/>
        </w:rPr>
        <w:t>四、提升信息披露质量，强化投资者关系管理</w:t>
      </w:r>
    </w:p>
    <w:p w14:paraId="378740A7">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严格按照法律法规、中国证监会及深圳证券交易所相关要求，及时履行信息披露义务，不断提高信息披露质量和透明度。加强信息披露管理，建立重大信息内部报告机制并进行持续优化，确保信息披露真实、准确、完整、及时。公司获评深交所主板上市公司2024-2025年度信息披露工作评价A级。未来，公司将持续强化信息披露管理，前移信息披露安全屏障，强化流程管控，完善制度体系，加强组织保障，强化学习培训，提升信息化智能化管理水平，切实保障信息披露工作质量，完整、高效地向市场传递公司价值。</w:t>
      </w:r>
    </w:p>
    <w:p w14:paraId="55186150">
      <w:pPr>
        <w:widowControl/>
        <w:spacing w:after="0" w:line="380" w:lineRule="exact"/>
        <w:ind w:firstLine="480" w:firstLineChars="200"/>
        <w:jc w:val="both"/>
        <w:rPr>
          <w:rFonts w:hint="default" w:ascii="Times New Roman" w:hAnsi="Times New Roman" w:eastAsia="宋体" w:cs="Times New Roman"/>
          <w:b/>
          <w:bCs/>
          <w:kern w:val="2"/>
          <w:sz w:val="24"/>
          <w:szCs w:val="24"/>
          <w:lang w:eastAsia="zh-CN"/>
        </w:rPr>
      </w:pPr>
      <w:r>
        <w:rPr>
          <w:rFonts w:hint="default" w:ascii="Times New Roman" w:hAnsi="Times New Roman" w:eastAsia="宋体" w:cs="Times New Roman"/>
          <w:kern w:val="2"/>
          <w:sz w:val="24"/>
          <w:szCs w:val="24"/>
          <w:lang w:eastAsia="zh-CN"/>
        </w:rPr>
        <w:t>公司重视与资本市场的沟通，建立健全多元化的投资者沟通机制。2025年5月20日，成功举办公司2024年度业绩说明会，6月12日参加了2025年湖北辖区上市公司投资者网上集体接待日，就公司战略规划、生产经营、项目投资、规范运作等问题与投资者进行了互动交流和沟通。通过电话热线、互动易问答、接待来访等方式保持与投资者的沟通交流。全年电话接待投资者100多人次，深交所互动易回答提问155个，积极维护公司良好的资本市场形象，增进了长源电力的市场认同和价值实现。</w:t>
      </w:r>
    </w:p>
    <w:p w14:paraId="7167FB02">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val="en-US" w:eastAsia="zh-CN"/>
        </w:rPr>
        <w:t>五、以ESG为驱动，助力公司高质量发展</w:t>
      </w:r>
    </w:p>
    <w:p w14:paraId="3A1233F1">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立足能源电力行业特点和自身实际，不断把ESG理念与公司经营管理相融合。2025年，公司首次尝试采用“四支柱框架（治理，战略，影响、风险和机遇管理，指标和目标）”系统披露2024年度ESG报告，报告保持了中国企业社会责任报告评级专家委员会四星级半（领先）评价。积极参加国资委、中电联、中工报和中企协等组织的社会责任和ESG实践案例评选活动，再融资案例入选国资委中央企业绿色可持续发展优秀实践案例、《半月谈》举办的“2025企业ESG可持续发展大会”优秀案例，国能长源随州公司智能仓储创新实践“不打烊的黑灯仓库”获得第六届现代工业企业ESG创新成果二等奖。ESG市场表现持续提升，万得ESG评级提升至AA级。公司再次入选“中国ESG上市公司央企先锋100”榜单，排名第72位，较上年同类榜单提升10位，充分展现公司在履行社会责任方面的实践和成效。</w:t>
      </w:r>
    </w:p>
    <w:p w14:paraId="497A632D">
      <w:pPr>
        <w:widowControl/>
        <w:spacing w:after="0" w:line="380" w:lineRule="exact"/>
        <w:ind w:firstLine="482" w:firstLineChars="200"/>
        <w:jc w:val="both"/>
        <w:rPr>
          <w:rFonts w:hint="default"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val="en-US" w:eastAsia="zh-CN"/>
        </w:rPr>
        <w:t>六、持续开展现金分红，与投资者共享发展成果</w:t>
      </w:r>
    </w:p>
    <w:p w14:paraId="40B77345">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公司在保持稳健经营的同时，高度重视股东回报，并致力于提升投资者回报水平。2025年共计派发股利25,063.45万元，占公司2024年实现的可用于股东分配的利润比例为35.04％，与投资者共享发展成果。未来公司将继续通过稳健经营和持续分红，实现“长期、稳定、可持续”的股东回报，不断提升广大投资者的获得感。</w:t>
      </w:r>
    </w:p>
    <w:p w14:paraId="6CE2F560">
      <w:pPr>
        <w:widowControl/>
        <w:spacing w:after="0" w:line="380" w:lineRule="exact"/>
        <w:ind w:firstLine="480" w:firstLineChars="200"/>
        <w:jc w:val="both"/>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展望未来，公司将牢固树立以投资者为本的理念和积极回报股东的意识，聚焦主责主业，强化公司治理和规范运作，不断提高上市公司质量和投资价值，将“质量回报双提升”行动方案落实到位，为增强市场信心、促进资本市场稳健发展贡献力量</w:t>
      </w:r>
      <w:r>
        <w:rPr>
          <w:rFonts w:hint="eastAsia" w:ascii="Times New Roman" w:hAnsi="Times New Roman" w:eastAsia="宋体" w:cs="Times New Roman"/>
          <w:kern w:val="2"/>
          <w:sz w:val="24"/>
          <w:szCs w:val="24"/>
          <w:lang w:eastAsia="zh-CN"/>
        </w:rPr>
        <w:t>。</w:t>
      </w:r>
    </w:p>
    <w:p w14:paraId="722ECDD4">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p>
    <w:p w14:paraId="24E3E043">
      <w:pPr>
        <w:widowControl/>
        <w:spacing w:after="0" w:line="380" w:lineRule="exact"/>
        <w:ind w:firstLine="480" w:firstLineChars="200"/>
        <w:jc w:val="both"/>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特此公告。</w:t>
      </w:r>
    </w:p>
    <w:p w14:paraId="464794DE">
      <w:pPr>
        <w:spacing w:beforeLines="0" w:after="0" w:line="380" w:lineRule="exact"/>
        <w:contextualSpacing/>
        <w:jc w:val="right"/>
        <w:rPr>
          <w:rFonts w:hint="default" w:ascii="Times New Roman" w:hAnsi="Times New Roman" w:cs="Times New Roman"/>
          <w:sz w:val="24"/>
          <w:lang w:eastAsia="zh-CN"/>
        </w:rPr>
      </w:pPr>
      <w:r>
        <w:rPr>
          <w:rFonts w:hint="default" w:ascii="Times New Roman" w:hAnsi="Times New Roman" w:cs="Times New Roman"/>
          <w:sz w:val="24"/>
          <w:lang w:eastAsia="zh-CN"/>
        </w:rPr>
        <w:t>国家能源集团长源电力股份有限公司董事会</w:t>
      </w:r>
    </w:p>
    <w:p w14:paraId="1AFEC58C">
      <w:pPr>
        <w:widowControl/>
        <w:spacing w:beforeLines="0" w:after="0" w:line="380" w:lineRule="exact"/>
        <w:ind w:firstLine="5040" w:firstLineChars="2100"/>
        <w:rPr>
          <w:rFonts w:hint="default"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lang w:eastAsia="zh-CN"/>
        </w:rPr>
        <w:t>202</w:t>
      </w:r>
      <w:r>
        <w:rPr>
          <w:rFonts w:hint="eastAsia" w:ascii="Times New Roman" w:hAnsi="Times New Roman" w:eastAsia="宋体" w:cs="Times New Roman"/>
          <w:kern w:val="2"/>
          <w:sz w:val="24"/>
          <w:szCs w:val="24"/>
          <w:lang w:val="en-US" w:eastAsia="zh-CN"/>
        </w:rPr>
        <w:t>6</w:t>
      </w:r>
      <w:r>
        <w:rPr>
          <w:rFonts w:hint="default" w:ascii="Times New Roman" w:hAnsi="Times New Roman" w:eastAsia="宋体" w:cs="Times New Roman"/>
          <w:kern w:val="2"/>
          <w:sz w:val="24"/>
          <w:szCs w:val="24"/>
          <w:lang w:eastAsia="zh-CN"/>
        </w:rPr>
        <w:t>年4月2</w:t>
      </w:r>
      <w:r>
        <w:rPr>
          <w:rFonts w:hint="eastAsia"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lang w:eastAsia="zh-CN"/>
        </w:rPr>
        <w:t>日</w:t>
      </w:r>
    </w:p>
    <w:p w14:paraId="17507938">
      <w:pPr>
        <w:pStyle w:val="5"/>
        <w:rPr>
          <w:rFonts w:hint="default" w:ascii="Times New Roman" w:hAnsi="Times New Roman" w:cs="Times New Roman"/>
        </w:rPr>
      </w:pPr>
    </w:p>
    <w:p w14:paraId="75B97D80">
      <w:pPr>
        <w:widowControl/>
        <w:rPr>
          <w:rFonts w:hint="default" w:ascii="Times New Roman" w:hAnsi="Times New Roman" w:cs="Times New Roman"/>
          <w:b/>
          <w:color w:val="000000"/>
          <w:szCs w:val="21"/>
          <w:lang w:eastAsia="zh-CN"/>
        </w:rPr>
        <w:sectPr>
          <w:footerReference r:id="rId5" w:type="default"/>
          <w:pgSz w:w="11906" w:h="16838"/>
          <w:pgMar w:top="1440" w:right="1797" w:bottom="1440" w:left="1797" w:header="737" w:footer="1134" w:gutter="0"/>
          <w:cols w:space="720" w:num="1"/>
        </w:sectPr>
      </w:pPr>
    </w:p>
    <w:tbl>
      <w:tblPr>
        <w:tblStyle w:val="12"/>
        <w:tblW w:w="14082" w:type="dxa"/>
        <w:tblInd w:w="98" w:type="dxa"/>
        <w:tblLayout w:type="fixed"/>
        <w:tblCellMar>
          <w:top w:w="0" w:type="dxa"/>
          <w:left w:w="108" w:type="dxa"/>
          <w:bottom w:w="0" w:type="dxa"/>
          <w:right w:w="108" w:type="dxa"/>
        </w:tblCellMar>
      </w:tblPr>
      <w:tblGrid>
        <w:gridCol w:w="2703"/>
        <w:gridCol w:w="849"/>
        <w:gridCol w:w="1135"/>
        <w:gridCol w:w="1134"/>
        <w:gridCol w:w="1134"/>
        <w:gridCol w:w="1133"/>
        <w:gridCol w:w="1133"/>
        <w:gridCol w:w="1417"/>
        <w:gridCol w:w="996"/>
        <w:gridCol w:w="1417"/>
        <w:gridCol w:w="1024"/>
        <w:gridCol w:w="7"/>
      </w:tblGrid>
      <w:tr w14:paraId="59BE2317">
        <w:tblPrEx>
          <w:tblCellMar>
            <w:top w:w="0" w:type="dxa"/>
            <w:left w:w="108" w:type="dxa"/>
            <w:bottom w:w="0" w:type="dxa"/>
            <w:right w:w="108" w:type="dxa"/>
          </w:tblCellMar>
        </w:tblPrEx>
        <w:trPr>
          <w:gridAfter w:val="1"/>
          <w:wAfter w:w="7" w:type="dxa"/>
          <w:trHeight w:val="347" w:hRule="atLeast"/>
        </w:trPr>
        <w:tc>
          <w:tcPr>
            <w:tcW w:w="3552" w:type="dxa"/>
            <w:gridSpan w:val="2"/>
            <w:tcBorders>
              <w:top w:val="nil"/>
              <w:left w:val="nil"/>
              <w:bottom w:val="nil"/>
              <w:right w:val="nil"/>
            </w:tcBorders>
            <w:shd w:val="clear" w:color="auto" w:fill="auto"/>
            <w:noWrap/>
            <w:vAlign w:val="center"/>
          </w:tcPr>
          <w:p w14:paraId="5B14B24D">
            <w:pPr>
              <w:widowControl/>
              <w:jc w:val="left"/>
              <w:textAlignment w:val="center"/>
              <w:rPr>
                <w:rFonts w:hint="default" w:ascii="Times New Roman" w:hAnsi="Times New Roman" w:cs="Times New Roman"/>
                <w:b/>
                <w:color w:val="000000"/>
                <w:sz w:val="22"/>
              </w:rPr>
            </w:pPr>
            <w:r>
              <w:rPr>
                <w:rFonts w:hint="default" w:ascii="Times New Roman" w:hAnsi="Times New Roman" w:cs="Times New Roman"/>
                <w:b/>
                <w:color w:val="000000"/>
                <w:sz w:val="22"/>
                <w:lang w:bidi="ar"/>
              </w:rPr>
              <w:t>附表：</w:t>
            </w:r>
          </w:p>
        </w:tc>
        <w:tc>
          <w:tcPr>
            <w:tcW w:w="1135" w:type="dxa"/>
            <w:tcBorders>
              <w:top w:val="nil"/>
              <w:left w:val="nil"/>
              <w:bottom w:val="nil"/>
              <w:right w:val="nil"/>
            </w:tcBorders>
            <w:shd w:val="clear" w:color="auto" w:fill="auto"/>
            <w:noWrap/>
            <w:vAlign w:val="center"/>
          </w:tcPr>
          <w:p w14:paraId="60E5565B">
            <w:pPr>
              <w:jc w:val="center"/>
              <w:rPr>
                <w:rFonts w:hint="default" w:ascii="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center"/>
          </w:tcPr>
          <w:p w14:paraId="3FE6F5FB">
            <w:pPr>
              <w:jc w:val="center"/>
              <w:rPr>
                <w:rFonts w:hint="default" w:ascii="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center"/>
          </w:tcPr>
          <w:p w14:paraId="5EDA7AE4">
            <w:pPr>
              <w:jc w:val="center"/>
              <w:rPr>
                <w:rFonts w:hint="default" w:ascii="Times New Roman" w:hAnsi="Times New Roman" w:cs="Times New Roman"/>
                <w:color w:val="000000"/>
                <w:sz w:val="24"/>
                <w:szCs w:val="24"/>
              </w:rPr>
            </w:pPr>
          </w:p>
        </w:tc>
        <w:tc>
          <w:tcPr>
            <w:tcW w:w="1133" w:type="dxa"/>
            <w:tcBorders>
              <w:top w:val="nil"/>
              <w:left w:val="nil"/>
              <w:bottom w:val="nil"/>
              <w:right w:val="nil"/>
            </w:tcBorders>
            <w:shd w:val="clear" w:color="auto" w:fill="auto"/>
            <w:noWrap/>
            <w:vAlign w:val="center"/>
          </w:tcPr>
          <w:p w14:paraId="5BBECACD">
            <w:pPr>
              <w:jc w:val="center"/>
              <w:rPr>
                <w:rFonts w:hint="default" w:ascii="Times New Roman" w:hAnsi="Times New Roman" w:cs="Times New Roman"/>
                <w:color w:val="000000"/>
                <w:sz w:val="24"/>
                <w:szCs w:val="24"/>
              </w:rPr>
            </w:pPr>
          </w:p>
        </w:tc>
        <w:tc>
          <w:tcPr>
            <w:tcW w:w="1133" w:type="dxa"/>
            <w:tcBorders>
              <w:top w:val="nil"/>
              <w:left w:val="nil"/>
              <w:bottom w:val="nil"/>
              <w:right w:val="nil"/>
            </w:tcBorders>
            <w:shd w:val="clear" w:color="auto" w:fill="auto"/>
            <w:noWrap/>
            <w:vAlign w:val="center"/>
          </w:tcPr>
          <w:p w14:paraId="037CA9D1">
            <w:pPr>
              <w:jc w:val="center"/>
              <w:rPr>
                <w:rFonts w:hint="default" w:ascii="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tcPr>
          <w:p w14:paraId="13BD52E9">
            <w:pPr>
              <w:jc w:val="center"/>
              <w:rPr>
                <w:rFonts w:hint="default" w:ascii="Times New Roman" w:hAnsi="Times New Roman" w:cs="Times New Roman"/>
                <w:color w:val="000000"/>
                <w:sz w:val="24"/>
                <w:szCs w:val="24"/>
              </w:rPr>
            </w:pPr>
          </w:p>
        </w:tc>
        <w:tc>
          <w:tcPr>
            <w:tcW w:w="996" w:type="dxa"/>
            <w:tcBorders>
              <w:top w:val="nil"/>
              <w:left w:val="nil"/>
              <w:bottom w:val="nil"/>
              <w:right w:val="nil"/>
            </w:tcBorders>
            <w:shd w:val="clear" w:color="auto" w:fill="auto"/>
            <w:noWrap/>
            <w:vAlign w:val="center"/>
          </w:tcPr>
          <w:p w14:paraId="7B66CE82">
            <w:pPr>
              <w:jc w:val="center"/>
              <w:rPr>
                <w:rFonts w:hint="default" w:ascii="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tcPr>
          <w:p w14:paraId="6382B9B9">
            <w:pPr>
              <w:jc w:val="center"/>
              <w:rPr>
                <w:rFonts w:hint="default" w:ascii="Times New Roman" w:hAnsi="Times New Roman" w:cs="Times New Roman"/>
                <w:color w:val="000000"/>
                <w:sz w:val="24"/>
                <w:szCs w:val="24"/>
              </w:rPr>
            </w:pPr>
          </w:p>
        </w:tc>
        <w:tc>
          <w:tcPr>
            <w:tcW w:w="1024" w:type="dxa"/>
            <w:tcBorders>
              <w:top w:val="nil"/>
              <w:left w:val="nil"/>
              <w:bottom w:val="nil"/>
              <w:right w:val="nil"/>
            </w:tcBorders>
            <w:shd w:val="clear" w:color="auto" w:fill="auto"/>
            <w:noWrap/>
            <w:vAlign w:val="center"/>
          </w:tcPr>
          <w:p w14:paraId="33883926">
            <w:pPr>
              <w:jc w:val="center"/>
              <w:rPr>
                <w:rFonts w:hint="default" w:ascii="Times New Roman" w:hAnsi="Times New Roman" w:cs="Times New Roman"/>
                <w:color w:val="000000"/>
                <w:sz w:val="24"/>
                <w:szCs w:val="24"/>
              </w:rPr>
            </w:pPr>
          </w:p>
        </w:tc>
      </w:tr>
      <w:tr w14:paraId="1DC5FEC6">
        <w:tblPrEx>
          <w:tblCellMar>
            <w:top w:w="0" w:type="dxa"/>
            <w:left w:w="108" w:type="dxa"/>
            <w:bottom w:w="0" w:type="dxa"/>
            <w:right w:w="108" w:type="dxa"/>
          </w:tblCellMar>
        </w:tblPrEx>
        <w:trPr>
          <w:trHeight w:val="463" w:hRule="atLeast"/>
        </w:trPr>
        <w:tc>
          <w:tcPr>
            <w:tcW w:w="14082" w:type="dxa"/>
            <w:gridSpan w:val="12"/>
            <w:tcBorders>
              <w:top w:val="nil"/>
              <w:left w:val="nil"/>
              <w:bottom w:val="nil"/>
              <w:right w:val="nil"/>
            </w:tcBorders>
            <w:shd w:val="clear" w:color="auto" w:fill="auto"/>
            <w:noWrap/>
            <w:vAlign w:val="center"/>
          </w:tcPr>
          <w:p w14:paraId="6A5028F6">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lang w:bidi="ar"/>
              </w:rPr>
              <w:t>募集资金使用情况对照表</w:t>
            </w:r>
          </w:p>
        </w:tc>
      </w:tr>
      <w:tr w14:paraId="589D487E">
        <w:tblPrEx>
          <w:tblCellMar>
            <w:top w:w="0" w:type="dxa"/>
            <w:left w:w="108" w:type="dxa"/>
            <w:bottom w:w="0" w:type="dxa"/>
            <w:right w:w="108" w:type="dxa"/>
          </w:tblCellMar>
        </w:tblPrEx>
        <w:trPr>
          <w:trHeight w:val="239" w:hRule="atLeast"/>
        </w:trPr>
        <w:tc>
          <w:tcPr>
            <w:tcW w:w="14082" w:type="dxa"/>
            <w:gridSpan w:val="12"/>
            <w:tcBorders>
              <w:top w:val="nil"/>
              <w:left w:val="nil"/>
              <w:bottom w:val="nil"/>
              <w:right w:val="nil"/>
            </w:tcBorders>
            <w:shd w:val="clear" w:color="auto" w:fill="auto"/>
            <w:noWrap/>
            <w:vAlign w:val="center"/>
          </w:tcPr>
          <w:p w14:paraId="7B27E302">
            <w:pPr>
              <w:widowControl/>
              <w:jc w:val="center"/>
              <w:textAlignment w:val="center"/>
              <w:rPr>
                <w:rFonts w:hint="default" w:ascii="Times New Roman" w:hAnsi="Times New Roman" w:cs="Times New Roman"/>
                <w:b/>
                <w:color w:val="000000"/>
                <w:sz w:val="24"/>
                <w:szCs w:val="24"/>
              </w:rPr>
            </w:pPr>
            <w:r>
              <w:rPr>
                <w:rFonts w:hint="default" w:ascii="Times New Roman" w:hAnsi="Times New Roman" w:cs="Times New Roman"/>
                <w:b/>
                <w:color w:val="000000"/>
                <w:kern w:val="0"/>
                <w:sz w:val="24"/>
                <w:szCs w:val="24"/>
                <w:lang w:bidi="ar"/>
              </w:rPr>
              <w:t>202</w:t>
            </w:r>
            <w:r>
              <w:rPr>
                <w:rFonts w:hint="eastAsia" w:ascii="Times New Roman" w:hAnsi="Times New Roman" w:cs="Times New Roman"/>
                <w:b/>
                <w:color w:val="000000"/>
                <w:kern w:val="0"/>
                <w:sz w:val="24"/>
                <w:szCs w:val="24"/>
                <w:lang w:val="en-US" w:eastAsia="zh-CN" w:bidi="ar"/>
              </w:rPr>
              <w:t>5</w:t>
            </w:r>
            <w:r>
              <w:rPr>
                <w:rFonts w:hint="default" w:ascii="Times New Roman" w:hAnsi="Times New Roman" w:cs="Times New Roman"/>
                <w:b/>
                <w:color w:val="000000"/>
                <w:sz w:val="24"/>
                <w:szCs w:val="24"/>
                <w:lang w:bidi="ar"/>
              </w:rPr>
              <w:t>年度</w:t>
            </w:r>
          </w:p>
        </w:tc>
      </w:tr>
      <w:tr w14:paraId="06EE49CC">
        <w:tblPrEx>
          <w:tblCellMar>
            <w:top w:w="0" w:type="dxa"/>
            <w:left w:w="108" w:type="dxa"/>
            <w:bottom w:w="0" w:type="dxa"/>
            <w:right w:w="108" w:type="dxa"/>
          </w:tblCellMar>
        </w:tblPrEx>
        <w:trPr>
          <w:gridAfter w:val="1"/>
          <w:wAfter w:w="7" w:type="dxa"/>
          <w:trHeight w:val="289" w:hRule="atLeast"/>
        </w:trPr>
        <w:tc>
          <w:tcPr>
            <w:tcW w:w="2703" w:type="dxa"/>
            <w:tcBorders>
              <w:top w:val="nil"/>
              <w:left w:val="nil"/>
              <w:bottom w:val="nil"/>
              <w:right w:val="nil"/>
            </w:tcBorders>
            <w:shd w:val="clear" w:color="auto" w:fill="auto"/>
            <w:noWrap/>
            <w:vAlign w:val="center"/>
          </w:tcPr>
          <w:p w14:paraId="5C5DC3BA">
            <w:pPr>
              <w:widowControl/>
              <w:jc w:val="left"/>
              <w:textAlignment w:val="center"/>
              <w:rPr>
                <w:rFonts w:hint="default" w:ascii="Times New Roman" w:hAnsi="Times New Roman" w:cs="Times New Roman"/>
                <w:bCs/>
                <w:color w:val="000000"/>
                <w:sz w:val="20"/>
                <w:szCs w:val="20"/>
              </w:rPr>
            </w:pPr>
            <w:r>
              <w:rPr>
                <w:rFonts w:hint="default" w:ascii="Times New Roman" w:hAnsi="Times New Roman" w:cs="Times New Roman"/>
                <w:bCs/>
                <w:color w:val="000000"/>
                <w:kern w:val="0"/>
                <w:sz w:val="20"/>
                <w:szCs w:val="20"/>
                <w:lang w:bidi="ar"/>
              </w:rPr>
              <w:t>编制单位：国家能源集团长源电力股份有限公司</w:t>
            </w:r>
          </w:p>
        </w:tc>
        <w:tc>
          <w:tcPr>
            <w:tcW w:w="849" w:type="dxa"/>
            <w:tcBorders>
              <w:top w:val="nil"/>
              <w:left w:val="nil"/>
              <w:bottom w:val="nil"/>
              <w:right w:val="nil"/>
            </w:tcBorders>
            <w:shd w:val="clear" w:color="auto" w:fill="auto"/>
            <w:noWrap/>
            <w:vAlign w:val="center"/>
          </w:tcPr>
          <w:p w14:paraId="0894F9A1">
            <w:pPr>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vAlign w:val="center"/>
          </w:tcPr>
          <w:p w14:paraId="0717598B">
            <w:pPr>
              <w:rPr>
                <w:rFonts w:hint="default" w:ascii="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tcPr>
          <w:p w14:paraId="74EE2178">
            <w:pPr>
              <w:rPr>
                <w:rFonts w:hint="default" w:ascii="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tcPr>
          <w:p w14:paraId="77CBBF59">
            <w:pPr>
              <w:rPr>
                <w:rFonts w:hint="default" w:ascii="Times New Roman" w:hAnsi="Times New Roman" w:cs="Times New Roman"/>
                <w:color w:val="000000"/>
                <w:sz w:val="20"/>
                <w:szCs w:val="20"/>
              </w:rPr>
            </w:pPr>
          </w:p>
        </w:tc>
        <w:tc>
          <w:tcPr>
            <w:tcW w:w="1133" w:type="dxa"/>
            <w:tcBorders>
              <w:top w:val="nil"/>
              <w:left w:val="nil"/>
              <w:bottom w:val="nil"/>
              <w:right w:val="nil"/>
            </w:tcBorders>
            <w:shd w:val="clear" w:color="auto" w:fill="auto"/>
            <w:noWrap/>
            <w:vAlign w:val="center"/>
          </w:tcPr>
          <w:p w14:paraId="44370314">
            <w:pPr>
              <w:rPr>
                <w:rFonts w:hint="default" w:ascii="Times New Roman" w:hAnsi="Times New Roman" w:cs="Times New Roman"/>
                <w:color w:val="000000"/>
                <w:sz w:val="20"/>
                <w:szCs w:val="20"/>
              </w:rPr>
            </w:pPr>
          </w:p>
        </w:tc>
        <w:tc>
          <w:tcPr>
            <w:tcW w:w="1133" w:type="dxa"/>
            <w:tcBorders>
              <w:top w:val="nil"/>
              <w:left w:val="nil"/>
              <w:bottom w:val="nil"/>
              <w:right w:val="nil"/>
            </w:tcBorders>
            <w:shd w:val="clear" w:color="auto" w:fill="auto"/>
            <w:noWrap/>
            <w:vAlign w:val="center"/>
          </w:tcPr>
          <w:p w14:paraId="431E3D47">
            <w:pPr>
              <w:rPr>
                <w:rFonts w:hint="default" w:ascii="Times New Roman" w:hAnsi="Times New Roman" w:cs="Times New Roman"/>
                <w:color w:val="000000"/>
                <w:sz w:val="20"/>
                <w:szCs w:val="20"/>
              </w:rPr>
            </w:pPr>
          </w:p>
        </w:tc>
        <w:tc>
          <w:tcPr>
            <w:tcW w:w="1417" w:type="dxa"/>
            <w:tcBorders>
              <w:top w:val="nil"/>
              <w:left w:val="nil"/>
              <w:bottom w:val="nil"/>
              <w:right w:val="nil"/>
            </w:tcBorders>
            <w:shd w:val="clear" w:color="auto" w:fill="auto"/>
            <w:noWrap/>
            <w:vAlign w:val="center"/>
          </w:tcPr>
          <w:p w14:paraId="2922C6A0">
            <w:pPr>
              <w:rPr>
                <w:rFonts w:hint="default" w:ascii="Times New Roman" w:hAnsi="Times New Roman" w:cs="Times New Roman"/>
                <w:color w:val="000000"/>
                <w:sz w:val="20"/>
                <w:szCs w:val="20"/>
              </w:rPr>
            </w:pPr>
          </w:p>
        </w:tc>
        <w:tc>
          <w:tcPr>
            <w:tcW w:w="3437" w:type="dxa"/>
            <w:gridSpan w:val="3"/>
            <w:tcBorders>
              <w:top w:val="nil"/>
              <w:left w:val="nil"/>
              <w:bottom w:val="single" w:color="000000" w:sz="8" w:space="0"/>
              <w:right w:val="nil"/>
            </w:tcBorders>
            <w:shd w:val="clear" w:color="auto" w:fill="auto"/>
            <w:noWrap/>
            <w:vAlign w:val="center"/>
          </w:tcPr>
          <w:p w14:paraId="5F194FB6">
            <w:pPr>
              <w:widowControl/>
              <w:jc w:val="right"/>
              <w:textAlignment w:val="center"/>
              <w:rPr>
                <w:rFonts w:hint="default" w:ascii="Times New Roman" w:hAnsi="Times New Roman" w:cs="Times New Roman"/>
                <w:bCs/>
                <w:color w:val="000000"/>
                <w:sz w:val="20"/>
                <w:szCs w:val="20"/>
              </w:rPr>
            </w:pPr>
            <w:r>
              <w:rPr>
                <w:rFonts w:hint="default" w:ascii="Times New Roman" w:hAnsi="Times New Roman" w:cs="Times New Roman"/>
                <w:bCs/>
                <w:color w:val="000000"/>
                <w:sz w:val="20"/>
                <w:szCs w:val="20"/>
                <w:lang w:bidi="ar"/>
              </w:rPr>
              <w:t>金额单位：人民币万元</w:t>
            </w:r>
          </w:p>
        </w:tc>
      </w:tr>
      <w:tr w14:paraId="7DB5BB2B">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3904A4">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4B4C1">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467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D76789">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本年度投入募集资金总额</w:t>
            </w:r>
          </w:p>
        </w:tc>
        <w:tc>
          <w:tcPr>
            <w:tcW w:w="2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EF5AA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6955.85</w:t>
            </w:r>
          </w:p>
        </w:tc>
      </w:tr>
      <w:tr w14:paraId="3816294A">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970D24">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报告期内变更用途的募集资金总额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B08F34">
            <w:pPr>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4679"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5C6456">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已累计投入募集资金总额</w:t>
            </w:r>
          </w:p>
        </w:tc>
        <w:tc>
          <w:tcPr>
            <w:tcW w:w="244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03C57F">
            <w:pPr>
              <w:widowControl/>
              <w:jc w:val="center"/>
              <w:textAlignment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kern w:val="0"/>
                <w:sz w:val="18"/>
                <w:szCs w:val="18"/>
                <w:lang w:val="en-US" w:eastAsia="zh-CN" w:bidi="ar"/>
              </w:rPr>
              <w:t>300,062.69</w:t>
            </w:r>
          </w:p>
        </w:tc>
      </w:tr>
      <w:tr w14:paraId="3CC1F04E">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6073FC">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累计变更用途的募集资金总额</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B2776F">
            <w:pPr>
              <w:jc w:val="center"/>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467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CB020">
            <w:pPr>
              <w:jc w:val="left"/>
              <w:rPr>
                <w:rFonts w:hint="default" w:ascii="Times New Roman" w:hAnsi="Times New Roman" w:cs="Times New Roman"/>
                <w:sz w:val="18"/>
                <w:szCs w:val="18"/>
              </w:rPr>
            </w:pPr>
          </w:p>
        </w:tc>
        <w:tc>
          <w:tcPr>
            <w:tcW w:w="24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152F2">
            <w:pPr>
              <w:jc w:val="center"/>
              <w:rPr>
                <w:rFonts w:hint="default" w:ascii="Times New Roman" w:hAnsi="Times New Roman" w:cs="Times New Roman"/>
                <w:sz w:val="18"/>
                <w:szCs w:val="18"/>
              </w:rPr>
            </w:pPr>
          </w:p>
        </w:tc>
      </w:tr>
      <w:tr w14:paraId="1DA91F5E">
        <w:tblPrEx>
          <w:tblCellMar>
            <w:top w:w="0" w:type="dxa"/>
            <w:left w:w="108" w:type="dxa"/>
            <w:bottom w:w="0" w:type="dxa"/>
            <w:right w:w="108" w:type="dxa"/>
          </w:tblCellMar>
        </w:tblPrEx>
        <w:trPr>
          <w:trHeight w:val="347" w:hRule="atLeast"/>
        </w:trPr>
        <w:tc>
          <w:tcPr>
            <w:tcW w:w="4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B9D595">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累计变更用途的募集资金总额比例</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EF7BEC">
            <w:pPr>
              <w:jc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0%</w:t>
            </w:r>
          </w:p>
        </w:tc>
        <w:tc>
          <w:tcPr>
            <w:tcW w:w="4679"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9DBEB">
            <w:pPr>
              <w:jc w:val="left"/>
              <w:rPr>
                <w:rFonts w:hint="default" w:ascii="Times New Roman" w:hAnsi="Times New Roman" w:cs="Times New Roman"/>
                <w:sz w:val="18"/>
                <w:szCs w:val="18"/>
              </w:rPr>
            </w:pPr>
          </w:p>
        </w:tc>
        <w:tc>
          <w:tcPr>
            <w:tcW w:w="244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05033">
            <w:pPr>
              <w:jc w:val="center"/>
              <w:rPr>
                <w:rFonts w:hint="default" w:ascii="Times New Roman" w:hAnsi="Times New Roman" w:cs="Times New Roman"/>
                <w:sz w:val="18"/>
                <w:szCs w:val="18"/>
              </w:rPr>
            </w:pPr>
          </w:p>
        </w:tc>
      </w:tr>
      <w:tr w14:paraId="338859AE">
        <w:tblPrEx>
          <w:tblCellMar>
            <w:top w:w="0" w:type="dxa"/>
            <w:left w:w="108" w:type="dxa"/>
            <w:bottom w:w="0" w:type="dxa"/>
            <w:right w:w="108" w:type="dxa"/>
          </w:tblCellMar>
        </w:tblPrEx>
        <w:trPr>
          <w:gridAfter w:val="1"/>
          <w:wAfter w:w="7" w:type="dxa"/>
          <w:trHeight w:val="810"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7777E4D">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承诺投资项目和超募资金投向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D691A78">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是否已变更项目（含部分变更）</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3DE8EC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募集资金承诺投资总额</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D3D1D45">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调整后投资总额(1)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EFA859">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本年度投入金额</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AEBBB67">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截至期末累计投入金额(2)</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9D77A93">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截至期末投资进度（%）(3)＝(2)/(1)</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25EC9DC">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项目达到预定可使用状态日期</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970C4A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本年度实现的效益</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AB862B5">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是否达到预计效益</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6D11BDB">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项目可行性是否发生重大变化</w:t>
            </w:r>
          </w:p>
        </w:tc>
      </w:tr>
      <w:tr w14:paraId="75D7E315">
        <w:tblPrEx>
          <w:tblCellMar>
            <w:top w:w="0" w:type="dxa"/>
            <w:left w:w="108" w:type="dxa"/>
            <w:bottom w:w="0" w:type="dxa"/>
            <w:right w:w="108" w:type="dxa"/>
          </w:tblCellMar>
        </w:tblPrEx>
        <w:trPr>
          <w:gridAfter w:val="1"/>
          <w:wAfter w:w="7" w:type="dxa"/>
          <w:trHeight w:val="34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C68BD3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承诺投资项目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AD7734A">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C368E2E">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1391F3E">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C99704">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5838098">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4D06523">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1E8B715">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E2D93B1">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D179F6">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7C4F22F7">
            <w:pPr>
              <w:jc w:val="center"/>
              <w:rPr>
                <w:rFonts w:hint="default" w:ascii="Times New Roman" w:hAnsi="Times New Roman" w:cs="Times New Roman"/>
                <w:sz w:val="18"/>
                <w:szCs w:val="18"/>
              </w:rPr>
            </w:pPr>
          </w:p>
        </w:tc>
      </w:tr>
      <w:tr w14:paraId="51C1EC45">
        <w:tblPrEx>
          <w:tblCellMar>
            <w:top w:w="0" w:type="dxa"/>
            <w:left w:w="108" w:type="dxa"/>
            <w:bottom w:w="0" w:type="dxa"/>
            <w:right w:w="108" w:type="dxa"/>
          </w:tblCellMar>
        </w:tblPrEx>
        <w:trPr>
          <w:gridAfter w:val="1"/>
          <w:wAfter w:w="7" w:type="dxa"/>
          <w:trHeight w:val="47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5E564C0">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1、汉川市新能源百万千瓦基地二期项目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1AFD747">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C3D8E6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60,562.00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C77652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60,562.00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A1F163">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91F1565">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57,154.23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19353A3">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94.37%</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17E0337">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w:t>
            </w:r>
            <w:r>
              <w:rPr>
                <w:rFonts w:hint="default" w:ascii="Times New Roman" w:hAnsi="Times New Roman" w:cs="Times New Roman"/>
                <w:kern w:val="0"/>
                <w:sz w:val="18"/>
                <w:szCs w:val="18"/>
                <w:lang w:val="en-US" w:eastAsia="zh-CN" w:bidi="ar"/>
              </w:rPr>
              <w:t>网</w:t>
            </w:r>
            <w:r>
              <w:rPr>
                <w:rFonts w:hint="default"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 xml:space="preserve">23.76万千瓦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9A6AD5E">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-1,811.01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AD4D4D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019027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67C5E186">
        <w:tblPrEx>
          <w:tblCellMar>
            <w:top w:w="0" w:type="dxa"/>
            <w:left w:w="108" w:type="dxa"/>
            <w:bottom w:w="0" w:type="dxa"/>
            <w:right w:w="108" w:type="dxa"/>
          </w:tblCellMar>
        </w:tblPrEx>
        <w:trPr>
          <w:gridAfter w:val="1"/>
          <w:wAfter w:w="7" w:type="dxa"/>
          <w:trHeight w:val="47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3A85102">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2、汉川市新能源百万千瓦基地三期项目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FBF4217">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793A47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C8A8C5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41,418.00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61D913">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082E2E1">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41,418.00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DE6B04C">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8CAE938">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w:t>
            </w:r>
            <w:r>
              <w:rPr>
                <w:rFonts w:hint="default" w:ascii="Times New Roman" w:hAnsi="Times New Roman" w:cs="Times New Roman"/>
                <w:kern w:val="0"/>
                <w:sz w:val="18"/>
                <w:szCs w:val="18"/>
                <w:lang w:val="en-US" w:eastAsia="zh-CN" w:bidi="ar"/>
              </w:rPr>
              <w:t xml:space="preserve">网16.24万千瓦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62AF072">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-1,266.10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424B43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E8750A1">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6755A690">
        <w:tblPrEx>
          <w:tblCellMar>
            <w:top w:w="0" w:type="dxa"/>
            <w:left w:w="108" w:type="dxa"/>
            <w:bottom w:w="0" w:type="dxa"/>
            <w:right w:w="108" w:type="dxa"/>
          </w:tblCellMar>
        </w:tblPrEx>
        <w:trPr>
          <w:gridAfter w:val="1"/>
          <w:wAfter w:w="7" w:type="dxa"/>
          <w:trHeight w:val="752"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A81803E">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3、国能长源随州市随县百万千瓦新能源多能互补基地二期</w:t>
            </w:r>
            <w:r>
              <w:rPr>
                <w:rFonts w:hint="default" w:ascii="Times New Roman" w:hAnsi="Times New Roman" w:cs="Times New Roman"/>
                <w:sz w:val="18"/>
                <w:szCs w:val="18"/>
                <w:lang w:bidi="ar"/>
              </w:rPr>
              <w:t>100MW项目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2C099F4">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DB9871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D1400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16,800.00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80C0F9">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C6E9A6E">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16,800.00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B59FFFB">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3176F82">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2025年5月30日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1F0EDFF">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-947.41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B72A66">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684435D">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59157294">
        <w:tblPrEx>
          <w:tblCellMar>
            <w:top w:w="0" w:type="dxa"/>
            <w:left w:w="108" w:type="dxa"/>
            <w:bottom w:w="0" w:type="dxa"/>
            <w:right w:w="108" w:type="dxa"/>
          </w:tblCellMar>
        </w:tblPrEx>
        <w:trPr>
          <w:gridAfter w:val="1"/>
          <w:wAfter w:w="7" w:type="dxa"/>
          <w:trHeight w:val="824"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2B8C00F">
            <w:pPr>
              <w:widowControl/>
              <w:jc w:val="left"/>
              <w:textAlignment w:val="center"/>
              <w:rPr>
                <w:rFonts w:hint="eastAsia" w:ascii="Times New Roman" w:hAnsi="Times New Roman" w:cs="Times New Roman" w:eastAsiaTheme="minorEastAsia"/>
                <w:sz w:val="18"/>
                <w:szCs w:val="18"/>
                <w:lang w:val="en-US" w:eastAsia="zh-CN"/>
              </w:rPr>
            </w:pPr>
            <w:r>
              <w:rPr>
                <w:rFonts w:hint="default" w:ascii="Times New Roman" w:hAnsi="Times New Roman" w:cs="Times New Roman"/>
                <w:kern w:val="0"/>
                <w:sz w:val="18"/>
                <w:szCs w:val="18"/>
                <w:lang w:bidi="ar"/>
              </w:rPr>
              <w:t>4、国能长源荆门市源网荷储百万千瓦级新能源基地钟祥子项目光伏电站</w:t>
            </w:r>
            <w:r>
              <w:rPr>
                <w:rFonts w:hint="eastAsia" w:ascii="Times New Roman" w:hAnsi="Times New Roman" w:cs="Times New Roman"/>
                <w:kern w:val="0"/>
                <w:sz w:val="18"/>
                <w:szCs w:val="18"/>
                <w:lang w:val="en-US" w:eastAsia="zh-CN" w:bidi="ar"/>
              </w:rPr>
              <w:t>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7CFD5AC">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68362F0">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B283C7">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25,820.00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4783C6">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BD34AFC">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25,820.00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902C67B">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6A09F50">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已完成并网</w:t>
            </w:r>
            <w:r>
              <w:rPr>
                <w:rFonts w:hint="default" w:ascii="Times New Roman" w:hAnsi="Times New Roman" w:cs="Times New Roman"/>
                <w:kern w:val="0"/>
                <w:sz w:val="18"/>
                <w:szCs w:val="18"/>
                <w:lang w:val="en-US" w:eastAsia="zh-CN" w:bidi="ar"/>
              </w:rPr>
              <w:t xml:space="preserve">30万千瓦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EFBF902">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-1,874.28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6AB5B1D">
            <w:pPr>
              <w:widowControl/>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A3357E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389C9847">
        <w:tblPrEx>
          <w:tblCellMar>
            <w:top w:w="0" w:type="dxa"/>
            <w:left w:w="108" w:type="dxa"/>
            <w:bottom w:w="0" w:type="dxa"/>
            <w:right w:w="108" w:type="dxa"/>
          </w:tblCellMar>
        </w:tblPrEx>
        <w:trPr>
          <w:gridAfter w:val="1"/>
          <w:wAfter w:w="7" w:type="dxa"/>
          <w:trHeight w:val="440"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F50F26B">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5、国能长源潜江浩口</w:t>
            </w:r>
            <w:r>
              <w:rPr>
                <w:rFonts w:hint="default" w:ascii="Times New Roman" w:hAnsi="Times New Roman" w:cs="Times New Roman"/>
                <w:sz w:val="18"/>
                <w:szCs w:val="18"/>
                <w:lang w:bidi="ar"/>
              </w:rPr>
              <w:t>200MW渔光互补光伏发电项目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CA876C1">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7436EF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037E57">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30,710.00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19F4DE">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519243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30,710.00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FFCC83C">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C8D8D2C">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w:t>
            </w:r>
            <w:r>
              <w:rPr>
                <w:rFonts w:hint="default" w:ascii="Times New Roman" w:hAnsi="Times New Roman" w:cs="Times New Roman"/>
                <w:kern w:val="0"/>
                <w:sz w:val="18"/>
                <w:szCs w:val="18"/>
                <w:lang w:val="en-US" w:eastAsia="zh-CN" w:bidi="ar"/>
              </w:rPr>
              <w:t xml:space="preserve">网17万千瓦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6C20011">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-1,854.77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48672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1C7BBF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62904881">
        <w:tblPrEx>
          <w:tblCellMar>
            <w:top w:w="0" w:type="dxa"/>
            <w:left w:w="108" w:type="dxa"/>
            <w:bottom w:w="0" w:type="dxa"/>
            <w:right w:w="108" w:type="dxa"/>
          </w:tblCellMar>
        </w:tblPrEx>
        <w:trPr>
          <w:gridAfter w:val="1"/>
          <w:wAfter w:w="7" w:type="dxa"/>
          <w:trHeight w:val="442"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25CB068">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6、国能长源谷城县冷集镇</w:t>
            </w:r>
            <w:r>
              <w:rPr>
                <w:rFonts w:hint="default" w:ascii="Times New Roman" w:hAnsi="Times New Roman" w:cs="Times New Roman"/>
                <w:sz w:val="18"/>
                <w:szCs w:val="18"/>
                <w:lang w:bidi="ar"/>
              </w:rPr>
              <w:t>230MW农光互补光伏发电项目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EBF696B">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B62405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35,400.00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32A70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35,400.00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C902F1">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3485.48</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4786E1A">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35,400.00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8B3614C">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C04F901">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 xml:space="preserve"> 已完成并网17.01万千瓦 </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4A1A6A2">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-313.02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F9F51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DCAB54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4BC50BFD">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270D747">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7、国能长源荆州市纪南镇</w:t>
            </w:r>
            <w:r>
              <w:rPr>
                <w:rFonts w:hint="default" w:ascii="Times New Roman" w:hAnsi="Times New Roman" w:cs="Times New Roman"/>
                <w:sz w:val="18"/>
                <w:szCs w:val="18"/>
                <w:lang w:bidi="ar"/>
              </w:rPr>
              <w:t>100MW渔光互补光伏发电项目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ACBC689">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63AB9A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858E6D">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12,940.00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C5BD084">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0221FC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12,940.00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08958C8">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C5281A">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2024年9月12日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5D4D7DC">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-754.07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96013D">
            <w:pPr>
              <w:widowControl/>
              <w:jc w:val="center"/>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11C27CED">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7847597B">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31C1CDC">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8、国能长源巴东县沿渡河镇</w:t>
            </w:r>
            <w:r>
              <w:rPr>
                <w:rFonts w:hint="default" w:ascii="Times New Roman" w:hAnsi="Times New Roman" w:cs="Times New Roman"/>
                <w:sz w:val="18"/>
                <w:szCs w:val="18"/>
                <w:lang w:bidi="ar"/>
              </w:rPr>
              <w:t>100MW农光互补光伏发电项目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A8B6292">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15BCEC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CED5D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13,632.00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D08AEF">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19CDC22">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13,632.00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F11A04C">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482DCE5">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2024年11月27日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2CAE91F">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139.91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863A620">
            <w:pPr>
              <w:widowControl/>
              <w:jc w:val="center"/>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A07C2FB">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70F46D0A">
        <w:tblPrEx>
          <w:tblCellMar>
            <w:top w:w="0" w:type="dxa"/>
            <w:left w:w="108" w:type="dxa"/>
            <w:bottom w:w="0" w:type="dxa"/>
            <w:right w:w="108" w:type="dxa"/>
          </w:tblCellMar>
        </w:tblPrEx>
        <w:trPr>
          <w:gridAfter w:val="1"/>
          <w:wAfter w:w="7" w:type="dxa"/>
          <w:trHeight w:val="93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4676033">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9、国能长源荆门屈家岭罗汉寺70MW农光互补光伏发电项目（一期）</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A0CBFFF">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61E851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20B4A6">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7,505.00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371AEA">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E3A7140">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7,505.00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A9BDA05">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9AA340C">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2024年3月6日</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AEA669D">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-91.78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8B56C9">
            <w:pPr>
              <w:widowControl/>
              <w:jc w:val="center"/>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7B6BF8F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6081A515">
        <w:tblPrEx>
          <w:tblCellMar>
            <w:top w:w="0" w:type="dxa"/>
            <w:left w:w="108" w:type="dxa"/>
            <w:bottom w:w="0" w:type="dxa"/>
            <w:right w:w="108" w:type="dxa"/>
          </w:tblCellMar>
        </w:tblPrEx>
        <w:trPr>
          <w:gridAfter w:val="1"/>
          <w:wAfter w:w="7" w:type="dxa"/>
          <w:trHeight w:val="27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4C43F09">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10、国电长源谷城县盛康镇</w:t>
            </w:r>
            <w:r>
              <w:rPr>
                <w:rFonts w:hint="default" w:ascii="Times New Roman" w:hAnsi="Times New Roman" w:cs="Times New Roman"/>
                <w:sz w:val="18"/>
                <w:szCs w:val="18"/>
                <w:lang w:bidi="ar"/>
              </w:rPr>
              <w:t>50MW农光互补光伏发电项目</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982161B">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934D875">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775BA2">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7,545.00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BCF363">
            <w:pPr>
              <w:widowControl/>
              <w:jc w:val="center"/>
              <w:textAlignment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92DE682">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7,545.00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15BD304">
            <w:pPr>
              <w:widowControl/>
              <w:jc w:val="righ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100.00%</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286E603">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已完成并网</w:t>
            </w:r>
            <w:r>
              <w:rPr>
                <w:rFonts w:hint="eastAsia" w:ascii="Times New Roman" w:hAnsi="Times New Roman" w:cs="Times New Roman"/>
                <w:kern w:val="0"/>
                <w:sz w:val="18"/>
                <w:szCs w:val="18"/>
                <w:lang w:val="en-US" w:eastAsia="zh-CN" w:bidi="ar"/>
              </w:rPr>
              <w:br w:type="textWrapping"/>
            </w:r>
            <w:r>
              <w:rPr>
                <w:rFonts w:hint="default" w:ascii="Times New Roman" w:hAnsi="Times New Roman" w:cs="Times New Roman"/>
                <w:kern w:val="0"/>
                <w:sz w:val="18"/>
                <w:szCs w:val="18"/>
                <w:lang w:val="en-US" w:eastAsia="zh-CN" w:bidi="ar"/>
              </w:rPr>
              <w:t>4.79万千瓦</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844539A">
            <w:pPr>
              <w:widowControl/>
              <w:jc w:val="center"/>
              <w:textAlignment w:val="center"/>
              <w:rPr>
                <w:rFonts w:hint="default" w:ascii="Times New Roman" w:hAnsi="Times New Roman" w:cs="Times New Roman"/>
                <w:kern w:val="0"/>
                <w:sz w:val="18"/>
                <w:szCs w:val="18"/>
                <w:lang w:val="en-US" w:eastAsia="zh-CN" w:bidi="ar"/>
              </w:rPr>
            </w:pPr>
            <w:r>
              <w:rPr>
                <w:rFonts w:hint="default" w:ascii="Times New Roman" w:hAnsi="Times New Roman" w:cs="Times New Roman"/>
                <w:kern w:val="0"/>
                <w:sz w:val="18"/>
                <w:szCs w:val="18"/>
                <w:lang w:val="en-US" w:eastAsia="zh-CN" w:bidi="ar"/>
              </w:rPr>
              <w:t xml:space="preserve"> -522.37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1A38F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不适用，投产</w:t>
            </w:r>
            <w:r>
              <w:rPr>
                <w:rFonts w:hint="eastAsia" w:ascii="Times New Roman" w:hAnsi="Times New Roman" w:cs="Times New Roman"/>
                <w:kern w:val="0"/>
                <w:sz w:val="18"/>
                <w:szCs w:val="18"/>
                <w:lang w:val="en-US" w:eastAsia="zh-CN" w:bidi="ar"/>
              </w:rPr>
              <w:t>不足</w:t>
            </w:r>
            <w:r>
              <w:rPr>
                <w:rFonts w:hint="default" w:ascii="Times New Roman" w:hAnsi="Times New Roman" w:cs="Times New Roman"/>
                <w:kern w:val="0"/>
                <w:sz w:val="18"/>
                <w:szCs w:val="18"/>
                <w:lang w:bidi="ar"/>
              </w:rPr>
              <w:t>一个完整会计年度</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7837B9D7">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否</w:t>
            </w:r>
          </w:p>
        </w:tc>
      </w:tr>
      <w:tr w14:paraId="722730AE">
        <w:tblPrEx>
          <w:tblCellMar>
            <w:top w:w="0" w:type="dxa"/>
            <w:left w:w="108" w:type="dxa"/>
            <w:bottom w:w="0" w:type="dxa"/>
            <w:right w:w="108" w:type="dxa"/>
          </w:tblCellMar>
        </w:tblPrEx>
        <w:trPr>
          <w:gridAfter w:val="1"/>
          <w:wAfter w:w="7" w:type="dxa"/>
          <w:trHeight w:val="279"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109D8DC5">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11、补充流动资金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0EABE32">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2717BC3">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47,668.00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2668CA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47,668.00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729E9D4">
            <w:pPr>
              <w:widowControl/>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3470.37</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34204D4">
            <w:pPr>
              <w:widowControl/>
              <w:jc w:val="center"/>
              <w:textAlignment w:val="center"/>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val="en-US" w:eastAsia="zh-CN" w:bidi="ar"/>
              </w:rPr>
              <w:t xml:space="preserve"> 50,153.81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4562983">
            <w:pPr>
              <w:widowControl/>
              <w:jc w:val="right"/>
              <w:textAlignment w:val="center"/>
              <w:rPr>
                <w:rFonts w:hint="default" w:ascii="Times New Roman" w:hAnsi="Times New Roman" w:cs="Times New Roman"/>
                <w:sz w:val="18"/>
                <w:szCs w:val="18"/>
              </w:rPr>
            </w:pPr>
            <w:r>
              <w:rPr>
                <w:rFonts w:hint="eastAsia" w:ascii="Times New Roman" w:hAnsi="Times New Roman" w:cs="Times New Roman"/>
                <w:kern w:val="0"/>
                <w:sz w:val="18"/>
                <w:szCs w:val="18"/>
                <w:lang w:val="en-US" w:eastAsia="zh-CN" w:bidi="ar"/>
              </w:rPr>
              <w:t>105.21</w:t>
            </w:r>
            <w:r>
              <w:rPr>
                <w:rFonts w:hint="default" w:ascii="Times New Roman" w:hAnsi="Times New Roman" w:cs="Times New Roman"/>
                <w:kern w:val="0"/>
                <w:sz w:val="18"/>
                <w:szCs w:val="18"/>
                <w:lang w:bidi="ar"/>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705352D">
            <w:pPr>
              <w:widowControl/>
              <w:jc w:val="center"/>
              <w:textAlignment w:val="center"/>
              <w:rPr>
                <w:rFonts w:hint="default" w:ascii="Times New Roman" w:hAnsi="Times New Roman" w:cs="Times New Roman"/>
                <w:kern w:val="0"/>
                <w:sz w:val="18"/>
                <w:szCs w:val="18"/>
                <w:lang w:bidi="ar"/>
              </w:rPr>
            </w:pPr>
            <w:r>
              <w:rPr>
                <w:rFonts w:hint="eastAsia" w:ascii="Times New Roman" w:hAnsi="Times New Roman" w:cs="Times New Roman"/>
                <w:kern w:val="0"/>
                <w:sz w:val="18"/>
                <w:szCs w:val="18"/>
                <w:lang w:val="en-US" w:eastAsia="zh-CN" w:bidi="ar"/>
              </w:rPr>
              <w:t>不适用</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D82B890">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4928D6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30FAE059">
            <w:pPr>
              <w:jc w:val="center"/>
              <w:rPr>
                <w:rFonts w:hint="default" w:ascii="Times New Roman" w:hAnsi="Times New Roman" w:cs="Times New Roman"/>
                <w:sz w:val="18"/>
                <w:szCs w:val="18"/>
              </w:rPr>
            </w:pPr>
          </w:p>
        </w:tc>
      </w:tr>
      <w:tr w14:paraId="33ABB2DC">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2545C5A">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支付承销费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2455F25">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3DEACB3">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324258">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09A86A">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09FF30B">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845.88</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320A298">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3D3AA3C">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B668E4F">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6FA258F">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09A1151E">
            <w:pPr>
              <w:jc w:val="center"/>
              <w:rPr>
                <w:rFonts w:hint="default" w:ascii="Times New Roman" w:hAnsi="Times New Roman" w:cs="Times New Roman"/>
                <w:sz w:val="18"/>
                <w:szCs w:val="18"/>
              </w:rPr>
            </w:pPr>
          </w:p>
        </w:tc>
      </w:tr>
      <w:tr w14:paraId="572040A4">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691A3A4D">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置换发行费用及中介机构服务费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6869140">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C3AA800">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44BB84">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F714E82">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7793ADD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47.17</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CD92308">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7DBA4EB">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02BDF14">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7C6B74">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1C91F7BF">
            <w:pPr>
              <w:jc w:val="center"/>
              <w:rPr>
                <w:rFonts w:hint="default" w:ascii="Times New Roman" w:hAnsi="Times New Roman" w:cs="Times New Roman"/>
                <w:sz w:val="18"/>
                <w:szCs w:val="18"/>
              </w:rPr>
            </w:pPr>
          </w:p>
        </w:tc>
      </w:tr>
      <w:tr w14:paraId="44C2A5C6">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05FC6558">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支付中介机构服务费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E65F97A">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FA03EE4">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44F7A93">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503DCC4">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125AAAD">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91.51</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AA5EDF1">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5AD9163">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DB264ED">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74E938E">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58245B2">
            <w:pPr>
              <w:jc w:val="center"/>
              <w:rPr>
                <w:rFonts w:hint="default" w:ascii="Times New Roman" w:hAnsi="Times New Roman" w:cs="Times New Roman"/>
                <w:sz w:val="18"/>
                <w:szCs w:val="18"/>
              </w:rPr>
            </w:pPr>
          </w:p>
        </w:tc>
      </w:tr>
      <w:tr w14:paraId="592CCCA6">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E2A58A0">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银行手续费</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00B5237">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354D3C8">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B83055">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A73528">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2397085">
            <w:pPr>
              <w:widowControl/>
              <w:jc w:val="center"/>
              <w:textAlignment w:val="center"/>
              <w:rPr>
                <w:rFonts w:hint="eastAsia" w:ascii="Times New Roman" w:hAnsi="Times New Roman" w:cs="Times New Roman" w:eastAsiaTheme="minorEastAsia"/>
                <w:sz w:val="18"/>
                <w:szCs w:val="18"/>
                <w:lang w:val="en-US" w:eastAsia="zh-CN"/>
              </w:rPr>
            </w:pPr>
            <w:r>
              <w:rPr>
                <w:rFonts w:hint="default" w:ascii="Times New Roman" w:hAnsi="Times New Roman" w:cs="Times New Roman"/>
                <w:kern w:val="0"/>
                <w:sz w:val="18"/>
                <w:szCs w:val="18"/>
                <w:lang w:bidi="ar"/>
              </w:rPr>
              <w:t>0.0</w:t>
            </w:r>
            <w:r>
              <w:rPr>
                <w:rFonts w:hint="eastAsia" w:ascii="Times New Roman" w:hAnsi="Times New Roman" w:cs="Times New Roman"/>
                <w:kern w:val="0"/>
                <w:sz w:val="18"/>
                <w:szCs w:val="18"/>
                <w:lang w:val="en-US" w:eastAsia="zh-CN" w:bidi="ar"/>
              </w:rPr>
              <w:t>9</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BAA33C6">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97CA482">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3A3DD44">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C70379F">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58EA479">
            <w:pPr>
              <w:jc w:val="center"/>
              <w:rPr>
                <w:rFonts w:hint="default" w:ascii="Times New Roman" w:hAnsi="Times New Roman" w:cs="Times New Roman"/>
                <w:sz w:val="18"/>
                <w:szCs w:val="18"/>
              </w:rPr>
            </w:pPr>
          </w:p>
        </w:tc>
      </w:tr>
      <w:tr w14:paraId="668B7303">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4A58CAD">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利息收入</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6458CBC">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DA78E33">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53D83ED">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E3205C">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E798155">
            <w:pPr>
              <w:jc w:val="right"/>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376768A">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56780D8">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9952CDB">
            <w:pPr>
              <w:widowControl/>
              <w:jc w:val="center"/>
              <w:textAlignment w:val="center"/>
              <w:rPr>
                <w:rFonts w:hint="default" w:ascii="Times New Roman" w:hAnsi="Times New Roman" w:cs="Times New Roman" w:eastAsiaTheme="minorEastAsia"/>
                <w:sz w:val="18"/>
                <w:szCs w:val="18"/>
                <w:lang w:val="en-US" w:eastAsia="zh-CN"/>
              </w:rPr>
            </w:pPr>
            <w:r>
              <w:rPr>
                <w:rFonts w:hint="eastAsia" w:ascii="Times New Roman" w:hAnsi="Times New Roman" w:cs="Times New Roman"/>
                <w:kern w:val="0"/>
                <w:sz w:val="18"/>
                <w:szCs w:val="18"/>
                <w:lang w:val="en-US" w:eastAsia="zh-CN" w:bidi="ar"/>
              </w:rPr>
              <w:t>62.69</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E8A8809">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019FEFA3">
            <w:pPr>
              <w:jc w:val="center"/>
              <w:rPr>
                <w:rFonts w:hint="default" w:ascii="Times New Roman" w:hAnsi="Times New Roman" w:cs="Times New Roman"/>
                <w:sz w:val="18"/>
                <w:szCs w:val="18"/>
              </w:rPr>
            </w:pPr>
          </w:p>
        </w:tc>
      </w:tr>
      <w:tr w14:paraId="047D0C4E">
        <w:tblPrEx>
          <w:tblCellMar>
            <w:top w:w="0" w:type="dxa"/>
            <w:left w:w="108" w:type="dxa"/>
            <w:bottom w:w="0" w:type="dxa"/>
            <w:right w:w="108" w:type="dxa"/>
          </w:tblCellMar>
        </w:tblPrEx>
        <w:trPr>
          <w:gridAfter w:val="1"/>
          <w:wAfter w:w="7" w:type="dxa"/>
          <w:trHeight w:val="35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3D8789E1">
            <w:pPr>
              <w:widowControl/>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承诺投资项目小计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BB39D2E">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C582A0E">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F49929F">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8A27DF">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036A988">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eastAsia="en-US" w:bidi="ar-SA"/>
              </w:rPr>
            </w:pPr>
            <w:r>
              <w:rPr>
                <w:rFonts w:hint="default" w:ascii="Arial" w:hAnsi="Arial" w:eastAsia="宋体" w:cs="Arial"/>
                <w:i w:val="0"/>
                <w:iCs w:val="0"/>
                <w:color w:val="000000"/>
                <w:kern w:val="0"/>
                <w:sz w:val="20"/>
                <w:szCs w:val="20"/>
                <w:u w:val="none"/>
                <w:lang w:val="en-US" w:eastAsia="zh-CN" w:bidi="ar"/>
              </w:rPr>
              <w:t xml:space="preserve"> </w:t>
            </w:r>
            <w:r>
              <w:rPr>
                <w:rFonts w:hint="default" w:ascii="Times New Roman" w:hAnsi="Times New Roman" w:cs="Times New Roman"/>
                <w:kern w:val="0"/>
                <w:sz w:val="18"/>
                <w:szCs w:val="18"/>
                <w:lang w:val="en-US" w:eastAsia="zh-CN" w:bidi="ar"/>
              </w:rPr>
              <w:t xml:space="preserve">300,062.69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2DE3B51">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35AEBA3">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433122D5">
            <w:pPr>
              <w:widowControl/>
              <w:jc w:val="center"/>
              <w:textAlignment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4609796">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415E0391">
            <w:pPr>
              <w:jc w:val="center"/>
              <w:rPr>
                <w:rFonts w:hint="default" w:ascii="Times New Roman" w:hAnsi="Times New Roman" w:cs="Times New Roman"/>
                <w:sz w:val="18"/>
                <w:szCs w:val="18"/>
              </w:rPr>
            </w:pPr>
          </w:p>
        </w:tc>
      </w:tr>
      <w:tr w14:paraId="20560825">
        <w:tblPrEx>
          <w:tblCellMar>
            <w:top w:w="0" w:type="dxa"/>
            <w:left w:w="108" w:type="dxa"/>
            <w:bottom w:w="0" w:type="dxa"/>
            <w:right w:w="108" w:type="dxa"/>
          </w:tblCellMar>
        </w:tblPrEx>
        <w:trPr>
          <w:gridAfter w:val="1"/>
          <w:wAfter w:w="7" w:type="dxa"/>
          <w:trHeight w:val="208"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543291C0">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超募资金投向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9341E9D">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508ACDD0">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93A6225">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D9A9A31">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9EAA15A">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1DA3EDAD">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7F37F42">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25BFD2E">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24F6C24">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1398485F">
            <w:pPr>
              <w:jc w:val="center"/>
              <w:rPr>
                <w:rFonts w:hint="default" w:ascii="Times New Roman" w:hAnsi="Times New Roman" w:cs="Times New Roman"/>
                <w:sz w:val="18"/>
                <w:szCs w:val="18"/>
              </w:rPr>
            </w:pPr>
          </w:p>
        </w:tc>
      </w:tr>
      <w:tr w14:paraId="487D89B8">
        <w:tblPrEx>
          <w:tblCellMar>
            <w:top w:w="0" w:type="dxa"/>
            <w:left w:w="108" w:type="dxa"/>
            <w:bottom w:w="0" w:type="dxa"/>
            <w:right w:w="108" w:type="dxa"/>
          </w:tblCellMar>
        </w:tblPrEx>
        <w:trPr>
          <w:gridAfter w:val="1"/>
          <w:wAfter w:w="7" w:type="dxa"/>
          <w:trHeight w:val="77"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484C4419">
            <w:pPr>
              <w:widowControl/>
              <w:jc w:val="left"/>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超募资金投向小计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5BBA7FE">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015F9620">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4F8C98A">
            <w:pPr>
              <w:jc w:val="center"/>
              <w:rPr>
                <w:rFonts w:hint="default" w:ascii="Times New Roman" w:hAnsi="Times New Roman" w:cs="Times New Roman"/>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5AEDF4">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0EB64D50">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60A85B0E">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FAF94C1">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3B0867B">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38BC322">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268E5683">
            <w:pPr>
              <w:jc w:val="center"/>
              <w:rPr>
                <w:rFonts w:hint="default" w:ascii="Times New Roman" w:hAnsi="Times New Roman" w:cs="Times New Roman"/>
                <w:sz w:val="18"/>
                <w:szCs w:val="18"/>
              </w:rPr>
            </w:pPr>
          </w:p>
        </w:tc>
      </w:tr>
      <w:tr w14:paraId="19407A6C">
        <w:tblPrEx>
          <w:tblCellMar>
            <w:top w:w="0" w:type="dxa"/>
            <w:left w:w="108" w:type="dxa"/>
            <w:bottom w:w="0" w:type="dxa"/>
            <w:right w:w="108" w:type="dxa"/>
          </w:tblCellMar>
        </w:tblPrEx>
        <w:trPr>
          <w:gridAfter w:val="1"/>
          <w:wAfter w:w="7" w:type="dxa"/>
          <w:trHeight w:val="139" w:hRule="atLeast"/>
        </w:trPr>
        <w:tc>
          <w:tcPr>
            <w:tcW w:w="2703" w:type="dxa"/>
            <w:tcBorders>
              <w:top w:val="single" w:color="auto" w:sz="4" w:space="0"/>
              <w:left w:val="single" w:color="auto" w:sz="4" w:space="0"/>
              <w:bottom w:val="single" w:color="auto" w:sz="4" w:space="0"/>
              <w:right w:val="single" w:color="auto" w:sz="4" w:space="0"/>
            </w:tcBorders>
            <w:shd w:val="clear" w:color="auto" w:fill="auto"/>
            <w:vAlign w:val="center"/>
          </w:tcPr>
          <w:p w14:paraId="22532E25">
            <w:pPr>
              <w:widowControl/>
              <w:jc w:val="center"/>
              <w:textAlignment w:val="center"/>
              <w:rPr>
                <w:rFonts w:hint="default" w:ascii="Times New Roman" w:hAnsi="Times New Roman" w:cs="Times New Roman"/>
                <w:bCs/>
                <w:sz w:val="18"/>
                <w:szCs w:val="18"/>
              </w:rPr>
            </w:pPr>
            <w:r>
              <w:rPr>
                <w:rFonts w:hint="default" w:ascii="Times New Roman" w:hAnsi="Times New Roman" w:cs="Times New Roman"/>
                <w:bCs/>
                <w:sz w:val="18"/>
                <w:szCs w:val="18"/>
                <w:lang w:bidi="ar"/>
              </w:rPr>
              <w:t>合计</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D1B971C">
            <w:pPr>
              <w:jc w:val="center"/>
              <w:rPr>
                <w:rFonts w:hint="default" w:ascii="Times New Roman" w:hAnsi="Times New Roman" w:cs="Times New Roman"/>
                <w:sz w:val="18"/>
                <w:szCs w:val="18"/>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1F279CC">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D3B5D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300,000.00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24F8366">
            <w:pPr>
              <w:jc w:val="center"/>
              <w:rPr>
                <w:rFonts w:hint="default" w:ascii="Times New Roman" w:hAnsi="Times New Roman" w:cs="Times New Roman"/>
                <w:sz w:val="18"/>
                <w:szCs w:val="18"/>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B4AA403">
            <w:pPr>
              <w:jc w:val="center"/>
              <w:rPr>
                <w:rFonts w:hint="default" w:ascii="Times New Roman" w:hAnsi="Times New Roman" w:cs="Times New Roman"/>
                <w:sz w:val="18"/>
                <w:szCs w:val="18"/>
              </w:rPr>
            </w:pPr>
            <w:r>
              <w:rPr>
                <w:rFonts w:hint="default" w:ascii="Arial" w:hAnsi="Arial" w:eastAsia="宋体" w:cs="Arial"/>
                <w:i w:val="0"/>
                <w:iCs w:val="0"/>
                <w:color w:val="000000"/>
                <w:kern w:val="0"/>
                <w:sz w:val="20"/>
                <w:szCs w:val="20"/>
                <w:u w:val="none"/>
                <w:lang w:val="en-US" w:eastAsia="zh-CN" w:bidi="ar"/>
              </w:rPr>
              <w:t xml:space="preserve"> </w:t>
            </w:r>
            <w:r>
              <w:rPr>
                <w:rFonts w:hint="default" w:ascii="Times New Roman" w:hAnsi="Times New Roman" w:cs="Times New Roman"/>
                <w:kern w:val="0"/>
                <w:sz w:val="18"/>
                <w:szCs w:val="18"/>
                <w:lang w:val="en-US" w:eastAsia="zh-CN" w:bidi="ar"/>
              </w:rPr>
              <w:t xml:space="preserve">300,062.69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FBC4300">
            <w:pPr>
              <w:jc w:val="center"/>
              <w:rPr>
                <w:rFonts w:hint="default" w:ascii="Times New Roman" w:hAnsi="Times New Roman" w:cs="Times New Roman"/>
                <w:sz w:val="18"/>
                <w:szCs w:val="1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1B427F2">
            <w:pPr>
              <w:jc w:val="center"/>
              <w:rPr>
                <w:rFonts w:hint="default" w:ascii="Times New Roman" w:hAnsi="Times New Roman" w:cs="Times New Roman"/>
                <w:sz w:val="18"/>
                <w:szCs w:val="18"/>
              </w:rPr>
            </w:pP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9E7E2F0">
            <w:pPr>
              <w:keepNext w:val="0"/>
              <w:keepLines w:val="0"/>
              <w:widowControl/>
              <w:suppressLineNumbers w:val="0"/>
              <w:jc w:val="center"/>
              <w:textAlignment w:val="center"/>
              <w:rPr>
                <w:rFonts w:hint="default" w:ascii="Arial" w:hAnsi="Arial" w:eastAsia="宋体" w:cs="Arial"/>
                <w:i w:val="0"/>
                <w:iCs w:val="0"/>
                <w:color w:val="000000"/>
                <w:sz w:val="20"/>
                <w:szCs w:val="20"/>
                <w:u w:val="none"/>
                <w:lang w:val="en-US" w:eastAsia="en-US" w:bidi="ar-SA"/>
              </w:rPr>
            </w:pPr>
            <w:r>
              <w:rPr>
                <w:rFonts w:hint="default" w:ascii="Times New Roman" w:hAnsi="Times New Roman" w:cs="Times New Roman"/>
                <w:kern w:val="0"/>
                <w:sz w:val="18"/>
                <w:szCs w:val="18"/>
                <w:lang w:val="en-US" w:eastAsia="zh-CN" w:bidi="ar"/>
              </w:rPr>
              <w:t xml:space="preserve"> -9,232.21</w:t>
            </w:r>
            <w:r>
              <w:rPr>
                <w:rFonts w:hint="default" w:ascii="Arial" w:hAnsi="Arial" w:eastAsia="宋体" w:cs="Arial"/>
                <w:i w:val="0"/>
                <w:iCs w:val="0"/>
                <w:color w:val="000000"/>
                <w:kern w:val="0"/>
                <w:sz w:val="20"/>
                <w:szCs w:val="20"/>
                <w:u w:val="none"/>
                <w:lang w:val="en-US" w:eastAsia="zh-CN" w:bidi="ar"/>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6A8E425">
            <w:pPr>
              <w:jc w:val="center"/>
              <w:rPr>
                <w:rFonts w:hint="default" w:ascii="Times New Roman" w:hAnsi="Times New Roman" w:cs="Times New Roman"/>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575EB392">
            <w:pPr>
              <w:jc w:val="center"/>
              <w:rPr>
                <w:rFonts w:hint="default" w:ascii="Times New Roman" w:hAnsi="Times New Roman" w:cs="Times New Roman"/>
                <w:sz w:val="18"/>
                <w:szCs w:val="18"/>
              </w:rPr>
            </w:pPr>
          </w:p>
        </w:tc>
      </w:tr>
      <w:tr w14:paraId="1A93AAC1">
        <w:tblPrEx>
          <w:tblCellMar>
            <w:top w:w="0" w:type="dxa"/>
            <w:left w:w="108" w:type="dxa"/>
            <w:bottom w:w="0" w:type="dxa"/>
            <w:right w:w="108" w:type="dxa"/>
          </w:tblCellMar>
        </w:tblPrEx>
        <w:trPr>
          <w:trHeight w:val="382"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DA6797">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未达到计划进度或预计收益的情况和原因</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3E6B80">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汉川市新能源百万千瓦基地二期项目、汉川市新能源百万千瓦基地三期项目、国能长源随县百万千瓦新能源多能互补基地二期100MW项目、国能长源潜江浩口200MW渔光互补光伏发电项目、国能长源谷城县冷集镇230MW农光互补光伏发电项目、国电长源谷城县盛康镇50MW农光互补光伏发电项目达到预定可使用状态至本报告期末尚不足一个完整年度，因此“是否达到预计效益”列为不适用。</w:t>
            </w:r>
          </w:p>
          <w:p w14:paraId="5C65BCB9">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rPr>
              <w:t>国能长源荆门市源网荷储百万千瓦级新能源基地钟祥子项目光伏电站项目、国能长源荆州市纪南镇100MW渔光互补光伏发电项目、国能长源巴东县沿渡河镇100MW农光互补光伏发电项目、国能长源荆门届家岭罗汉寺70MW农光互补光伏发电项目(一期)受《关于深化新能源上网电价市场化改革促进新能源高质量发展的通知》（发改价格〔2025〕136号）政策影响，实际上网电价未达预期，截至报告期末，上述项目效益暂时未达到预计效益。</w:t>
            </w:r>
          </w:p>
        </w:tc>
      </w:tr>
      <w:tr w14:paraId="71BE6A81">
        <w:tblPrEx>
          <w:tblCellMar>
            <w:top w:w="0" w:type="dxa"/>
            <w:left w:w="108" w:type="dxa"/>
            <w:bottom w:w="0" w:type="dxa"/>
            <w:right w:w="108" w:type="dxa"/>
          </w:tblCellMar>
        </w:tblPrEx>
        <w:trPr>
          <w:trHeight w:val="358"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B037BB">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项目可行性发生重大变化的情况说明</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1E102AA">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2B50D8B2">
        <w:tblPrEx>
          <w:tblCellMar>
            <w:top w:w="0" w:type="dxa"/>
            <w:left w:w="108" w:type="dxa"/>
            <w:bottom w:w="0" w:type="dxa"/>
            <w:right w:w="108" w:type="dxa"/>
          </w:tblCellMar>
        </w:tblPrEx>
        <w:trPr>
          <w:trHeight w:val="382"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3E9D19">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超募资金的金额、用途及使用进展情况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85662B">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2A57378D">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B98208">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募集资金投资项目实施地点变更情况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DB1D87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710363D7">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A93AD3">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募集资金投资项目实施方式调整情况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F454D5">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6E2BF4DD">
        <w:tblPrEx>
          <w:tblCellMar>
            <w:top w:w="0" w:type="dxa"/>
            <w:left w:w="108" w:type="dxa"/>
            <w:bottom w:w="0" w:type="dxa"/>
            <w:right w:w="108" w:type="dxa"/>
          </w:tblCellMar>
        </w:tblPrEx>
        <w:trPr>
          <w:trHeight w:val="1545"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3318C0">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募集资金投资项目先期投入及置换情况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9AD59AA">
            <w:pPr>
              <w:widowControl/>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根据中兴华会计师事务所（特殊普通合伙）出具《国家能源集团长源电力股份有限公司以自筹资金预先投入募集资金投资项目及支付发行费用的鉴证报告》（中兴华核字（2024）第 011515 号），截至 2024年11月5日，公司以自有资金预先投入募集资金使用项目的实际投资额为 349,277.05 万元。 2024年12月11日，公司第十届董事会第二十九次会议，审议通过《关于使用募集资金置换预先投入项目的自有资金的议案》。公司董事会同意公司以募集资金人民币 243,285.92 万元置换已预先投入募集资金使用项目及支付发行费用的自有资金。截至2024年12月12日，前述募集资金置换已实施完成。</w:t>
            </w:r>
          </w:p>
        </w:tc>
      </w:tr>
      <w:tr w14:paraId="785370FC">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AA372E">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用闲置募集资金暂时补充流动资金情况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FE76623">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5EE76107">
        <w:tblPrEx>
          <w:tblCellMar>
            <w:top w:w="0" w:type="dxa"/>
            <w:left w:w="108" w:type="dxa"/>
            <w:bottom w:w="0" w:type="dxa"/>
            <w:right w:w="108" w:type="dxa"/>
          </w:tblCellMar>
        </w:tblPrEx>
        <w:trPr>
          <w:trHeight w:val="129"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29A6E9">
            <w:pPr>
              <w:widowControl/>
              <w:jc w:val="left"/>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项目实施出现募集资金节余的金额及原因</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BDAEB4">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不适用</w:t>
            </w:r>
          </w:p>
        </w:tc>
      </w:tr>
      <w:tr w14:paraId="005D3070">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1803F1">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尚未使用的募集资金用途及去向</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FF1D36E">
            <w:pPr>
              <w:widowControl/>
              <w:textAlignment w:val="center"/>
              <w:rPr>
                <w:rFonts w:hint="default" w:ascii="Times New Roman" w:hAnsi="Times New Roman" w:cs="Times New Roman"/>
                <w:sz w:val="18"/>
                <w:szCs w:val="18"/>
              </w:rPr>
            </w:pPr>
            <w:r>
              <w:rPr>
                <w:rFonts w:hint="default" w:ascii="Times New Roman" w:hAnsi="Times New Roman" w:cs="Times New Roman"/>
                <w:sz w:val="18"/>
                <w:szCs w:val="18"/>
              </w:rPr>
              <w:t>2025年12月3日公司第十一届董事会第二次会议、12月22日2025年第四次临时股东会，审议通过了《关于部分募投项目节余募集资金永久补充流动资金的议案》，同意公司对向特定对象发行股票募集资金投资项目予以结项，并将节余募集资金 3407.77 万元、现金管理收益和利息收入（预计不超过70万元，实际转出以资金转出日银行结息后的余额为准）用于永久补充流动资金。截至2025年12月31日，节余募集资金3470.37万元已全部用于永久补流。</w:t>
            </w:r>
          </w:p>
        </w:tc>
      </w:tr>
      <w:tr w14:paraId="1923BB2C">
        <w:tblPrEx>
          <w:tblCellMar>
            <w:top w:w="0" w:type="dxa"/>
            <w:left w:w="108" w:type="dxa"/>
            <w:bottom w:w="0" w:type="dxa"/>
            <w:right w:w="108" w:type="dxa"/>
          </w:tblCellMar>
        </w:tblPrEx>
        <w:trPr>
          <w:trHeight w:val="347" w:hRule="atLeast"/>
        </w:trPr>
        <w:tc>
          <w:tcPr>
            <w:tcW w:w="582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1BFB7F">
            <w:pPr>
              <w:widowControl/>
              <w:jc w:val="left"/>
              <w:textAlignment w:val="center"/>
              <w:rPr>
                <w:rFonts w:hint="default" w:ascii="Times New Roman" w:hAnsi="Times New Roman" w:cs="Times New Roman"/>
                <w:sz w:val="18"/>
                <w:szCs w:val="18"/>
              </w:rPr>
            </w:pPr>
            <w:r>
              <w:rPr>
                <w:rFonts w:hint="default" w:ascii="Times New Roman" w:hAnsi="Times New Roman" w:cs="Times New Roman"/>
                <w:sz w:val="18"/>
                <w:szCs w:val="18"/>
                <w:lang w:bidi="ar"/>
              </w:rPr>
              <w:t>募集资金使用及披露中存在的问题或其他情况</w:t>
            </w:r>
          </w:p>
        </w:tc>
        <w:tc>
          <w:tcPr>
            <w:tcW w:w="826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F5962D9">
            <w:pPr>
              <w:widowControl/>
              <w:jc w:val="center"/>
              <w:textAlignment w:val="center"/>
              <w:rPr>
                <w:rFonts w:hint="default" w:ascii="Times New Roman" w:hAnsi="Times New Roman" w:cs="Times New Roman"/>
                <w:sz w:val="18"/>
                <w:szCs w:val="18"/>
              </w:rPr>
            </w:pPr>
            <w:r>
              <w:rPr>
                <w:rFonts w:hint="default" w:ascii="Times New Roman" w:hAnsi="Times New Roman" w:cs="Times New Roman"/>
                <w:kern w:val="0"/>
                <w:sz w:val="18"/>
                <w:szCs w:val="18"/>
                <w:lang w:bidi="ar"/>
              </w:rPr>
              <w:t>无</w:t>
            </w:r>
          </w:p>
        </w:tc>
      </w:tr>
    </w:tbl>
    <w:p w14:paraId="58FB70D4">
      <w:pPr>
        <w:pStyle w:val="5"/>
        <w:rPr>
          <w:rFonts w:hint="default" w:ascii="Times New Roman" w:hAnsi="Times New Roman" w:cs="Times New Roman"/>
        </w:rPr>
      </w:pPr>
    </w:p>
    <w:p w14:paraId="1FCE9666">
      <w:pPr>
        <w:rPr>
          <w:rFonts w:hint="default" w:ascii="Times New Roman" w:hAnsi="Times New Roman" w:cs="Times New Roman"/>
        </w:rPr>
      </w:pPr>
    </w:p>
    <w:sectPr>
      <w:footerReference r:id="rId6" w:type="default"/>
      <w:pgSz w:w="16838" w:h="11906" w:orient="landscape"/>
      <w:pgMar w:top="1797" w:right="1440" w:bottom="179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1"/>
        <w:szCs w:val="21"/>
      </w:rPr>
      <w:id w:val="-1552532203"/>
    </w:sdtPr>
    <w:sdtEndPr>
      <w:rPr>
        <w:rFonts w:ascii="宋体" w:hAnsi="宋体" w:eastAsia="宋体"/>
        <w:sz w:val="18"/>
        <w:szCs w:val="18"/>
      </w:rPr>
    </w:sdtEndPr>
    <w:sdtContent>
      <w:p w14:paraId="66103210">
        <w:pPr>
          <w:pStyle w:val="9"/>
          <w:jc w:val="center"/>
          <w:rPr>
            <w:rFonts w:ascii="宋体" w:hAnsi="宋体" w:eastAsia="宋体"/>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2</w:t>
        </w:r>
        <w:r>
          <w:rPr>
            <w:rFonts w:ascii="宋体" w:hAnsi="宋体" w:eastAsia="宋体"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087316"/>
    </w:sdtPr>
    <w:sdtEndPr>
      <w:rPr>
        <w:rFonts w:ascii="宋体" w:hAnsi="宋体" w:eastAsia="宋体" w:cs="Times New Roman"/>
        <w:sz w:val="21"/>
        <w:szCs w:val="21"/>
      </w:rPr>
    </w:sdtEndPr>
    <w:sdtContent>
      <w:p w14:paraId="0582D377">
        <w:pPr>
          <w:pStyle w:val="9"/>
          <w:jc w:val="center"/>
          <w:rPr>
            <w:rFonts w:ascii="宋体" w:hAnsi="宋体" w:eastAsia="宋体" w:cs="Times New Roman"/>
            <w:sz w:val="21"/>
            <w:szCs w:val="21"/>
          </w:rPr>
        </w:pPr>
        <w:r>
          <w:rPr>
            <w:rFonts w:ascii="宋体" w:hAnsi="宋体" w:eastAsia="宋体" w:cs="Times New Roman"/>
            <w:sz w:val="21"/>
            <w:szCs w:val="21"/>
          </w:rPr>
          <w:fldChar w:fldCharType="begin"/>
        </w:r>
        <w:r>
          <w:rPr>
            <w:rFonts w:ascii="宋体" w:hAnsi="宋体" w:eastAsia="宋体" w:cs="Times New Roman"/>
            <w:sz w:val="21"/>
            <w:szCs w:val="21"/>
          </w:rPr>
          <w:instrText xml:space="preserve">PAGE   \* MERGEFORMAT</w:instrText>
        </w:r>
        <w:r>
          <w:rPr>
            <w:rFonts w:ascii="宋体" w:hAnsi="宋体" w:eastAsia="宋体" w:cs="Times New Roman"/>
            <w:sz w:val="21"/>
            <w:szCs w:val="21"/>
          </w:rPr>
          <w:fldChar w:fldCharType="separate"/>
        </w:r>
        <w:r>
          <w:rPr>
            <w:rFonts w:ascii="宋体" w:hAnsi="宋体" w:eastAsia="宋体" w:cs="Times New Roman"/>
            <w:sz w:val="21"/>
            <w:szCs w:val="21"/>
            <w:lang w:val="zh-CN"/>
          </w:rPr>
          <w:t>2</w:t>
        </w:r>
        <w:r>
          <w:rPr>
            <w:rFonts w:ascii="宋体" w:hAnsi="宋体" w:eastAsia="宋体"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19B"/>
    <w:rsid w:val="00010584"/>
    <w:rsid w:val="00022527"/>
    <w:rsid w:val="00022842"/>
    <w:rsid w:val="000376CB"/>
    <w:rsid w:val="000A546B"/>
    <w:rsid w:val="000D0A66"/>
    <w:rsid w:val="000D735B"/>
    <w:rsid w:val="000F1145"/>
    <w:rsid w:val="00151EB7"/>
    <w:rsid w:val="001A7350"/>
    <w:rsid w:val="001B7B3D"/>
    <w:rsid w:val="001F0C4D"/>
    <w:rsid w:val="0022476A"/>
    <w:rsid w:val="00235271"/>
    <w:rsid w:val="002537C4"/>
    <w:rsid w:val="002632FB"/>
    <w:rsid w:val="00284CDF"/>
    <w:rsid w:val="002901FC"/>
    <w:rsid w:val="002B2236"/>
    <w:rsid w:val="002C5487"/>
    <w:rsid w:val="002E4F7C"/>
    <w:rsid w:val="002F0F85"/>
    <w:rsid w:val="00307E20"/>
    <w:rsid w:val="003162CF"/>
    <w:rsid w:val="00352AD3"/>
    <w:rsid w:val="00390C52"/>
    <w:rsid w:val="003E4190"/>
    <w:rsid w:val="003E4A6B"/>
    <w:rsid w:val="0040185E"/>
    <w:rsid w:val="00402357"/>
    <w:rsid w:val="00410820"/>
    <w:rsid w:val="004161A8"/>
    <w:rsid w:val="004B6326"/>
    <w:rsid w:val="004C670C"/>
    <w:rsid w:val="004F3B76"/>
    <w:rsid w:val="004F7864"/>
    <w:rsid w:val="00505BD0"/>
    <w:rsid w:val="005477E1"/>
    <w:rsid w:val="00561A93"/>
    <w:rsid w:val="005D35F8"/>
    <w:rsid w:val="005D3757"/>
    <w:rsid w:val="005D6D13"/>
    <w:rsid w:val="005E048B"/>
    <w:rsid w:val="005F405C"/>
    <w:rsid w:val="005F503C"/>
    <w:rsid w:val="006044DA"/>
    <w:rsid w:val="006102B4"/>
    <w:rsid w:val="0062397F"/>
    <w:rsid w:val="00664F9B"/>
    <w:rsid w:val="006813A4"/>
    <w:rsid w:val="006860C0"/>
    <w:rsid w:val="00691252"/>
    <w:rsid w:val="006A485C"/>
    <w:rsid w:val="006A4FF8"/>
    <w:rsid w:val="006D524C"/>
    <w:rsid w:val="006F468C"/>
    <w:rsid w:val="00704994"/>
    <w:rsid w:val="007049A0"/>
    <w:rsid w:val="00704A6C"/>
    <w:rsid w:val="00704FC5"/>
    <w:rsid w:val="00705B79"/>
    <w:rsid w:val="007247DD"/>
    <w:rsid w:val="007675B5"/>
    <w:rsid w:val="00770987"/>
    <w:rsid w:val="007760FE"/>
    <w:rsid w:val="007824D9"/>
    <w:rsid w:val="0078585A"/>
    <w:rsid w:val="00790B2D"/>
    <w:rsid w:val="007E0596"/>
    <w:rsid w:val="008001F7"/>
    <w:rsid w:val="00815B2E"/>
    <w:rsid w:val="008268D9"/>
    <w:rsid w:val="00833FBE"/>
    <w:rsid w:val="008473BC"/>
    <w:rsid w:val="00850E21"/>
    <w:rsid w:val="0088147A"/>
    <w:rsid w:val="00885399"/>
    <w:rsid w:val="00887E55"/>
    <w:rsid w:val="00895178"/>
    <w:rsid w:val="008C1DF9"/>
    <w:rsid w:val="008E07E3"/>
    <w:rsid w:val="008E63AD"/>
    <w:rsid w:val="008E7014"/>
    <w:rsid w:val="008F1E43"/>
    <w:rsid w:val="008F424E"/>
    <w:rsid w:val="008F5FEB"/>
    <w:rsid w:val="00921A75"/>
    <w:rsid w:val="009277DA"/>
    <w:rsid w:val="00950B20"/>
    <w:rsid w:val="00953D36"/>
    <w:rsid w:val="00982434"/>
    <w:rsid w:val="009918B1"/>
    <w:rsid w:val="009D021C"/>
    <w:rsid w:val="009E3D16"/>
    <w:rsid w:val="009F150A"/>
    <w:rsid w:val="009F26E9"/>
    <w:rsid w:val="009F51AB"/>
    <w:rsid w:val="00A040B6"/>
    <w:rsid w:val="00A260EC"/>
    <w:rsid w:val="00A32176"/>
    <w:rsid w:val="00A45CBE"/>
    <w:rsid w:val="00A50E96"/>
    <w:rsid w:val="00A92B96"/>
    <w:rsid w:val="00B016AE"/>
    <w:rsid w:val="00B27B52"/>
    <w:rsid w:val="00B3502C"/>
    <w:rsid w:val="00B471A8"/>
    <w:rsid w:val="00B61289"/>
    <w:rsid w:val="00B61ECD"/>
    <w:rsid w:val="00B74E2D"/>
    <w:rsid w:val="00B75028"/>
    <w:rsid w:val="00BA51BC"/>
    <w:rsid w:val="00BC0BEC"/>
    <w:rsid w:val="00BC44AC"/>
    <w:rsid w:val="00BD6E24"/>
    <w:rsid w:val="00BE2C4E"/>
    <w:rsid w:val="00C108E8"/>
    <w:rsid w:val="00C400CB"/>
    <w:rsid w:val="00C564E0"/>
    <w:rsid w:val="00C733C1"/>
    <w:rsid w:val="00C77889"/>
    <w:rsid w:val="00C82C8F"/>
    <w:rsid w:val="00C91AA6"/>
    <w:rsid w:val="00CD2BD5"/>
    <w:rsid w:val="00CD7AE6"/>
    <w:rsid w:val="00CE0262"/>
    <w:rsid w:val="00CE0A0D"/>
    <w:rsid w:val="00CF3839"/>
    <w:rsid w:val="00D34585"/>
    <w:rsid w:val="00D53021"/>
    <w:rsid w:val="00DD0727"/>
    <w:rsid w:val="00E122EC"/>
    <w:rsid w:val="00E47526"/>
    <w:rsid w:val="00E61507"/>
    <w:rsid w:val="00E620D2"/>
    <w:rsid w:val="00E64857"/>
    <w:rsid w:val="00E77A6C"/>
    <w:rsid w:val="00E92C1D"/>
    <w:rsid w:val="00EC295D"/>
    <w:rsid w:val="00EC29A8"/>
    <w:rsid w:val="00EE0EEB"/>
    <w:rsid w:val="00F06534"/>
    <w:rsid w:val="00F12711"/>
    <w:rsid w:val="00F17D0B"/>
    <w:rsid w:val="00F3019B"/>
    <w:rsid w:val="00F347E9"/>
    <w:rsid w:val="00F41A71"/>
    <w:rsid w:val="00F42485"/>
    <w:rsid w:val="00F55EE2"/>
    <w:rsid w:val="00F5782A"/>
    <w:rsid w:val="00F76611"/>
    <w:rsid w:val="00FC467E"/>
    <w:rsid w:val="00FE1E09"/>
    <w:rsid w:val="08A60726"/>
    <w:rsid w:val="0A6F0772"/>
    <w:rsid w:val="0CC8381A"/>
    <w:rsid w:val="0F7846D6"/>
    <w:rsid w:val="10912632"/>
    <w:rsid w:val="11535599"/>
    <w:rsid w:val="12A86CCC"/>
    <w:rsid w:val="197A5773"/>
    <w:rsid w:val="29055596"/>
    <w:rsid w:val="2BAE5355"/>
    <w:rsid w:val="31A57720"/>
    <w:rsid w:val="337978D0"/>
    <w:rsid w:val="33FD4142"/>
    <w:rsid w:val="35196623"/>
    <w:rsid w:val="361E2979"/>
    <w:rsid w:val="3D127B62"/>
    <w:rsid w:val="412D7255"/>
    <w:rsid w:val="41687867"/>
    <w:rsid w:val="472B4C71"/>
    <w:rsid w:val="47650B90"/>
    <w:rsid w:val="4A8E2781"/>
    <w:rsid w:val="4B9068B1"/>
    <w:rsid w:val="5921361B"/>
    <w:rsid w:val="5D893E01"/>
    <w:rsid w:val="5DBB6A1A"/>
    <w:rsid w:val="6C1A4F74"/>
    <w:rsid w:val="738F3DC3"/>
    <w:rsid w:val="79D1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160" w:line="278"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7"/>
    <w:qFormat/>
    <w:uiPriority w:val="1"/>
    <w:pPr>
      <w:ind w:left="600"/>
      <w:outlineLvl w:val="0"/>
    </w:pPr>
    <w:rPr>
      <w:rFonts w:ascii="宋体" w:hAnsi="宋体" w:eastAsia="宋体"/>
      <w:b/>
      <w:bCs/>
      <w:sz w:val="26"/>
      <w:szCs w:val="26"/>
    </w:rPr>
  </w:style>
  <w:style w:type="paragraph" w:styleId="2">
    <w:name w:val="heading 3"/>
    <w:basedOn w:val="1"/>
    <w:next w:val="1"/>
    <w:qFormat/>
    <w:uiPriority w:val="0"/>
    <w:pPr>
      <w:keepNext/>
      <w:keepLines/>
      <w:snapToGrid w:val="0"/>
      <w:spacing w:line="560" w:lineRule="exact"/>
      <w:ind w:firstLine="200" w:firstLineChars="200"/>
      <w:outlineLvl w:val="2"/>
    </w:pPr>
    <w:rPr>
      <w:b/>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Normal Indent"/>
    <w:basedOn w:val="1"/>
    <w:semiHidden/>
    <w:unhideWhenUsed/>
    <w:qFormat/>
    <w:uiPriority w:val="99"/>
    <w:pPr>
      <w:ind w:firstLine="420" w:firstLineChars="200"/>
      <w:jc w:val="both"/>
    </w:pPr>
    <w:rPr>
      <w:rFonts w:ascii="Calibri" w:hAnsi="Calibri" w:eastAsia="宋体" w:cs="Times New Roman"/>
      <w:kern w:val="2"/>
      <w:sz w:val="21"/>
      <w:szCs w:val="24"/>
      <w:lang w:eastAsia="zh-CN"/>
    </w:rPr>
  </w:style>
  <w:style w:type="paragraph" w:styleId="6">
    <w:name w:val="annotation text"/>
    <w:basedOn w:val="1"/>
    <w:link w:val="20"/>
    <w:semiHidden/>
    <w:unhideWhenUsed/>
    <w:qFormat/>
    <w:uiPriority w:val="99"/>
  </w:style>
  <w:style w:type="paragraph" w:styleId="7">
    <w:name w:val="Body Text"/>
    <w:basedOn w:val="1"/>
    <w:link w:val="18"/>
    <w:qFormat/>
    <w:uiPriority w:val="1"/>
    <w:pPr>
      <w:ind w:left="600"/>
    </w:pPr>
    <w:rPr>
      <w:rFonts w:ascii="宋体" w:hAnsi="宋体" w:eastAsia="宋体"/>
      <w:sz w:val="24"/>
      <w:szCs w:val="24"/>
    </w:rPr>
  </w:style>
  <w:style w:type="paragraph" w:styleId="8">
    <w:name w:val="Balloon Text"/>
    <w:basedOn w:val="1"/>
    <w:link w:val="19"/>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pPr>
    <w:rPr>
      <w:kern w:val="2"/>
      <w:sz w:val="18"/>
      <w:szCs w:val="18"/>
      <w:lang w:eastAsia="zh-CN"/>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11">
    <w:name w:val="Title"/>
    <w:basedOn w:val="3"/>
    <w:next w:val="1"/>
    <w:link w:val="22"/>
    <w:qFormat/>
    <w:uiPriority w:val="0"/>
    <w:pPr>
      <w:spacing w:line="560" w:lineRule="exact"/>
      <w:ind w:left="0"/>
      <w:jc w:val="center"/>
    </w:pPr>
    <w:rPr>
      <w:rFonts w:ascii="方正小标宋简体" w:hAnsi="方正小标宋简体" w:eastAsia="方正小标宋简体" w:cs="方正小标宋简体"/>
      <w:b w:val="0"/>
      <w:bCs w:val="0"/>
      <w:kern w:val="2"/>
      <w:sz w:val="40"/>
      <w:szCs w:val="32"/>
      <w:lang w:eastAsia="zh-CN"/>
    </w:r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3"/>
    <w:qFormat/>
    <w:uiPriority w:val="1"/>
    <w:rPr>
      <w:rFonts w:ascii="宋体" w:hAnsi="宋体" w:eastAsia="宋体"/>
      <w:b/>
      <w:bCs/>
      <w:kern w:val="0"/>
      <w:sz w:val="26"/>
      <w:szCs w:val="26"/>
      <w:lang w:eastAsia="en-US"/>
    </w:rPr>
  </w:style>
  <w:style w:type="character" w:customStyle="1" w:styleId="18">
    <w:name w:val="正文文本 字符"/>
    <w:basedOn w:val="13"/>
    <w:link w:val="7"/>
    <w:qFormat/>
    <w:uiPriority w:val="1"/>
    <w:rPr>
      <w:rFonts w:ascii="宋体" w:hAnsi="宋体" w:eastAsia="宋体"/>
      <w:kern w:val="0"/>
      <w:sz w:val="24"/>
      <w:szCs w:val="24"/>
      <w:lang w:eastAsia="en-US"/>
    </w:rPr>
  </w:style>
  <w:style w:type="character" w:customStyle="1" w:styleId="19">
    <w:name w:val="批注框文本 字符"/>
    <w:basedOn w:val="13"/>
    <w:link w:val="8"/>
    <w:semiHidden/>
    <w:qFormat/>
    <w:uiPriority w:val="99"/>
    <w:rPr>
      <w:kern w:val="0"/>
      <w:sz w:val="18"/>
      <w:szCs w:val="18"/>
      <w:lang w:eastAsia="en-US"/>
    </w:rPr>
  </w:style>
  <w:style w:type="character" w:customStyle="1" w:styleId="20">
    <w:name w:val="批注文字 字符"/>
    <w:basedOn w:val="13"/>
    <w:link w:val="6"/>
    <w:semiHidden/>
    <w:qFormat/>
    <w:uiPriority w:val="99"/>
    <w:rPr>
      <w:kern w:val="0"/>
      <w:sz w:val="22"/>
      <w:lang w:eastAsia="en-US"/>
    </w:rPr>
  </w:style>
  <w:style w:type="paragraph" w:customStyle="1" w:styleId="21">
    <w:name w:val="修订1"/>
    <w:hidden/>
    <w:semiHidden/>
    <w:qFormat/>
    <w:uiPriority w:val="99"/>
    <w:pPr>
      <w:spacing w:after="160" w:line="278" w:lineRule="auto"/>
    </w:pPr>
    <w:rPr>
      <w:rFonts w:asciiTheme="minorHAnsi" w:hAnsiTheme="minorHAnsi" w:eastAsiaTheme="minorEastAsia" w:cstheme="minorBidi"/>
      <w:sz w:val="22"/>
      <w:szCs w:val="22"/>
      <w:lang w:val="en-US" w:eastAsia="en-US" w:bidi="ar-SA"/>
    </w:rPr>
  </w:style>
  <w:style w:type="character" w:customStyle="1" w:styleId="22">
    <w:name w:val="标题 字符"/>
    <w:basedOn w:val="13"/>
    <w:link w:val="11"/>
    <w:qFormat/>
    <w:uiPriority w:val="0"/>
    <w:rPr>
      <w:rFonts w:ascii="方正小标宋简体" w:hAnsi="方正小标宋简体" w:eastAsia="方正小标宋简体" w:cs="方正小标宋简体"/>
      <w:sz w:val="40"/>
      <w:szCs w:val="32"/>
    </w:rPr>
  </w:style>
  <w:style w:type="character" w:customStyle="1" w:styleId="23">
    <w:name w:val="附注二级正文 Char"/>
    <w:link w:val="24"/>
    <w:qFormat/>
    <w:locked/>
    <w:uiPriority w:val="0"/>
    <w:rPr>
      <w:rFonts w:ascii="宋体" w:hAnsi="宋体" w:eastAsia="宋体" w:cs="Times New Roman"/>
      <w:szCs w:val="24"/>
    </w:rPr>
  </w:style>
  <w:style w:type="paragraph" w:customStyle="1" w:styleId="24">
    <w:name w:val="附注二级正文"/>
    <w:basedOn w:val="1"/>
    <w:link w:val="23"/>
    <w:qFormat/>
    <w:uiPriority w:val="0"/>
    <w:pPr>
      <w:adjustRightInd w:val="0"/>
      <w:snapToGrid w:val="0"/>
      <w:spacing w:line="400" w:lineRule="atLeast"/>
      <w:ind w:left="718" w:leftChars="342"/>
      <w:jc w:val="both"/>
    </w:pPr>
    <w:rPr>
      <w:rFonts w:ascii="宋体" w:hAnsi="宋体" w:eastAsia="宋体" w:cs="Times New Roman"/>
      <w:kern w:val="2"/>
      <w:sz w:val="21"/>
      <w:szCs w:val="24"/>
      <w:lang w:eastAsia="zh-CN"/>
    </w:rPr>
  </w:style>
  <w:style w:type="character" w:customStyle="1" w:styleId="25">
    <w:name w:val="附注一级 Char"/>
    <w:link w:val="26"/>
    <w:qFormat/>
    <w:locked/>
    <w:uiPriority w:val="0"/>
    <w:rPr>
      <w:rFonts w:ascii="宋体" w:hAnsi="宋体" w:eastAsia="宋体" w:cs="Times New Roman"/>
      <w:b/>
      <w:szCs w:val="21"/>
      <w:lang w:val="zh-CN"/>
    </w:rPr>
  </w:style>
  <w:style w:type="paragraph" w:customStyle="1" w:styleId="26">
    <w:name w:val="附注一级"/>
    <w:basedOn w:val="1"/>
    <w:link w:val="25"/>
    <w:qFormat/>
    <w:uiPriority w:val="0"/>
    <w:pPr>
      <w:tabs>
        <w:tab w:val="left" w:pos="714"/>
      </w:tabs>
      <w:adjustRightInd w:val="0"/>
      <w:snapToGrid w:val="0"/>
      <w:spacing w:line="400" w:lineRule="atLeast"/>
      <w:jc w:val="both"/>
      <w:outlineLvl w:val="0"/>
    </w:pPr>
    <w:rPr>
      <w:rFonts w:ascii="宋体" w:hAnsi="宋体" w:eastAsia="宋体" w:cs="Times New Roman"/>
      <w:b/>
      <w:kern w:val="2"/>
      <w:sz w:val="21"/>
      <w:szCs w:val="21"/>
      <w:lang w:val="zh-CN" w:eastAsia="zh-CN"/>
    </w:rPr>
  </w:style>
  <w:style w:type="paragraph" w:customStyle="1" w:styleId="27">
    <w:name w:val="修订2"/>
    <w:hidden/>
    <w:semiHidden/>
    <w:qFormat/>
    <w:uiPriority w:val="99"/>
    <w:pPr>
      <w:spacing w:after="160" w:line="278" w:lineRule="auto"/>
    </w:pPr>
    <w:rPr>
      <w:rFonts w:asciiTheme="minorHAnsi" w:hAnsiTheme="minorHAnsi" w:eastAsiaTheme="minorEastAsia" w:cstheme="minorBidi"/>
      <w:sz w:val="22"/>
      <w:szCs w:val="22"/>
      <w:lang w:val="en-US" w:eastAsia="en-US" w:bidi="ar-SA"/>
    </w:rPr>
  </w:style>
  <w:style w:type="character" w:customStyle="1" w:styleId="28">
    <w:name w:val="font21"/>
    <w:basedOn w:val="13"/>
    <w:qFormat/>
    <w:uiPriority w:val="0"/>
    <w:rPr>
      <w:rFonts w:ascii="Arial" w:hAnsi="Arial" w:cs="Arial"/>
      <w:color w:val="000000"/>
      <w:sz w:val="20"/>
      <w:szCs w:val="20"/>
      <w:u w:val="none"/>
    </w:rPr>
  </w:style>
  <w:style w:type="character" w:customStyle="1" w:styleId="29">
    <w:name w:val="font31"/>
    <w:basedOn w:val="13"/>
    <w:qFormat/>
    <w:uiPriority w:val="0"/>
    <w:rPr>
      <w:rFonts w:hint="eastAsia" w:ascii="宋体" w:hAnsi="宋体" w:eastAsia="宋体" w:cs="宋体"/>
      <w:color w:val="000000"/>
      <w:sz w:val="20"/>
      <w:szCs w:val="20"/>
      <w:u w:val="none"/>
    </w:rPr>
  </w:style>
  <w:style w:type="character" w:customStyle="1" w:styleId="30">
    <w:name w:val="font41"/>
    <w:basedOn w:val="13"/>
    <w:qFormat/>
    <w:uiPriority w:val="0"/>
    <w:rPr>
      <w:rFonts w:hint="default" w:ascii="Arial" w:hAnsi="Arial" w:cs="Arial"/>
      <w:color w:val="FF0000"/>
      <w:sz w:val="20"/>
      <w:szCs w:val="20"/>
      <w:u w:val="none"/>
    </w:rPr>
  </w:style>
  <w:style w:type="character" w:customStyle="1" w:styleId="31">
    <w:name w:val="font61"/>
    <w:basedOn w:val="13"/>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589</Words>
  <Characters>3359</Characters>
  <Lines>27</Lines>
  <Paragraphs>7</Paragraphs>
  <TotalTime>9</TotalTime>
  <ScaleCrop>false</ScaleCrop>
  <LinksUpToDate>false</LinksUpToDate>
  <CharactersWithSpaces>3941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2016-12-24T16:02:00Z</dcterms:created>
  <dc:creator>朱正忠</dc:creator>
  <cp:lastModifiedBy>叶建兵</cp:lastModifiedBy>
  <dcterms:modified xsi:type="dcterms:W3CDTF">2026-04-23T03:17:05Z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0A7A569386964F078F9D5857B86EF469</vt:lpwstr>
  </property>
</Properties>
</file>