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cs="Times New Roman"/>
          <w:color w:val="auto"/>
          <w:sz w:val="24"/>
          <w:highlight w:val="none"/>
          <w:lang w:val="en-US" w:eastAsia="zh-CN"/>
        </w:rPr>
      </w:pPr>
      <w:bookmarkStart w:id="0" w:name="_GoBack"/>
      <w:bookmarkEnd w:id="0"/>
      <w:r>
        <w:rPr>
          <w:rFonts w:hint="default" w:ascii="Times New Roman" w:hAnsi="Times New Roman" w:cs="Times New Roman"/>
          <w:color w:val="auto"/>
          <w:sz w:val="24"/>
          <w:highlight w:val="none"/>
        </w:rPr>
        <w:t xml:space="preserve">证券代码：000966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证券简称：长源电力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公告编号：20</w:t>
      </w:r>
      <w:r>
        <w:rPr>
          <w:rFonts w:hint="default"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-0</w:t>
      </w:r>
      <w:r>
        <w:rPr>
          <w:rFonts w:hint="eastAsia" w:ascii="Times New Roman" w:hAnsi="Times New Roman" w:cs="Times New Roman"/>
          <w:color w:val="auto"/>
          <w:sz w:val="24"/>
          <w:highlight w:val="none"/>
          <w:lang w:val="en-US" w:eastAsia="zh-CN"/>
        </w:rPr>
        <w:t>08</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小标宋简体" w:cs="Times New Roman"/>
          <w:b/>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lang w:val="en-US" w:eastAsia="zh-CN"/>
        </w:rPr>
        <w:t>国家能源集团</w:t>
      </w:r>
      <w:r>
        <w:rPr>
          <w:rFonts w:hint="default" w:ascii="Times New Roman" w:hAnsi="Times New Roman" w:eastAsia="方正小标宋简体" w:cs="Times New Roman"/>
          <w:color w:val="auto"/>
          <w:sz w:val="32"/>
          <w:szCs w:val="32"/>
          <w:highlight w:val="none"/>
        </w:rPr>
        <w:t>长源电力股份有限公司</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小标宋简体" w:cs="Times New Roman"/>
          <w:color w:val="auto"/>
          <w:sz w:val="32"/>
          <w:szCs w:val="32"/>
          <w:highlight w:val="none"/>
          <w:lang w:val="en-US" w:eastAsia="zh-CN"/>
        </w:rPr>
      </w:pPr>
      <w:r>
        <w:rPr>
          <w:rFonts w:hint="default" w:ascii="Times New Roman" w:hAnsi="Times New Roman" w:eastAsia="方正小标宋简体" w:cs="Times New Roman"/>
          <w:color w:val="auto"/>
          <w:sz w:val="32"/>
          <w:szCs w:val="32"/>
          <w:highlight w:val="none"/>
          <w:lang w:val="en-US" w:eastAsia="zh-CN"/>
        </w:rPr>
        <w:t>关于募集资金使用完毕及注销募集资金账户</w:t>
      </w:r>
      <w:r>
        <w:rPr>
          <w:rFonts w:hint="eastAsia" w:ascii="Times New Roman" w:hAnsi="Times New Roman" w:eastAsia="方正小标宋简体" w:cs="Times New Roman"/>
          <w:color w:val="auto"/>
          <w:sz w:val="32"/>
          <w:szCs w:val="32"/>
          <w:highlight w:val="none"/>
          <w:lang w:val="en-US" w:eastAsia="zh-CN"/>
        </w:rPr>
        <w:t>的公告</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360"/>
        <w:jc w:val="center"/>
        <w:textAlignment w:val="auto"/>
        <w:rPr>
          <w:rFonts w:hint="default" w:ascii="Times New Roman" w:hAnsi="Times New Roman" w:eastAsia="方正小标宋简体" w:cs="Times New Roman"/>
          <w:color w:val="auto"/>
          <w:sz w:val="32"/>
          <w:szCs w:val="32"/>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napToGrid w:val="0"/>
              <w:spacing w:line="380" w:lineRule="exact"/>
              <w:ind w:firstLine="480" w:firstLineChars="200"/>
              <w:textAlignment w:val="auto"/>
              <w:rPr>
                <w:rFonts w:hint="default" w:ascii="Times New Roman" w:hAnsi="Times New Roman" w:cs="Times New Roman"/>
                <w:color w:val="auto"/>
                <w:sz w:val="24"/>
                <w:szCs w:val="28"/>
                <w:highlight w:val="none"/>
              </w:rPr>
            </w:pPr>
            <w:r>
              <w:rPr>
                <w:rFonts w:hint="default" w:ascii="Times New Roman" w:hAnsi="Times New Roman" w:cs="Times New Roman"/>
                <w:color w:val="auto"/>
                <w:kern w:val="0"/>
                <w:sz w:val="24"/>
                <w:szCs w:val="28"/>
                <w:highlight w:val="none"/>
              </w:rPr>
              <w:t>本公司及董事会全体成员保证信息披露内容的真实、准确和完整，没有虚假记载、误导性陈述或重大遗漏。</w:t>
            </w:r>
          </w:p>
        </w:tc>
      </w:tr>
    </w:tbl>
    <w:p>
      <w:pPr>
        <w:keepNext w:val="0"/>
        <w:keepLines w:val="0"/>
        <w:pageBreakBefore w:val="0"/>
        <w:kinsoku/>
        <w:wordWrap/>
        <w:overflowPunct/>
        <w:topLinePunct w:val="0"/>
        <w:bidi w:val="0"/>
        <w:adjustRightInd w:val="0"/>
        <w:snapToGrid w:val="0"/>
        <w:spacing w:line="380" w:lineRule="exact"/>
        <w:ind w:firstLine="570"/>
        <w:textAlignment w:val="auto"/>
        <w:rPr>
          <w:rFonts w:hint="default" w:ascii="Times New Roman" w:hAnsi="Times New Roman" w:cs="Times New Roman"/>
          <w:b/>
          <w:color w:val="auto"/>
          <w:sz w:val="24"/>
          <w:szCs w:val="28"/>
          <w:highlight w:val="none"/>
        </w:rPr>
      </w:pPr>
    </w:p>
    <w:p>
      <w:pPr>
        <w:keepNext w:val="0"/>
        <w:keepLines w:val="0"/>
        <w:pageBreakBefore w:val="0"/>
        <w:kinsoku/>
        <w:wordWrap/>
        <w:overflowPunct/>
        <w:topLinePunct w:val="0"/>
        <w:bidi w:val="0"/>
        <w:adjustRightInd w:val="0"/>
        <w:snapToGrid w:val="0"/>
        <w:spacing w:line="380" w:lineRule="exact"/>
        <w:ind w:firstLine="482" w:firstLineChars="200"/>
        <w:textAlignment w:val="auto"/>
        <w:rPr>
          <w:rFonts w:hint="default"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rPr>
        <w:t>一、</w:t>
      </w:r>
      <w:r>
        <w:rPr>
          <w:rFonts w:hint="default" w:ascii="Times New Roman" w:hAnsi="Times New Roman" w:cs="Times New Roman"/>
          <w:b/>
          <w:color w:val="auto"/>
          <w:sz w:val="24"/>
          <w:highlight w:val="none"/>
          <w:lang w:eastAsia="zh-CN"/>
        </w:rPr>
        <w:t>募集资金基本情况</w:t>
      </w:r>
    </w:p>
    <w:p>
      <w:pPr>
        <w:keepNext w:val="0"/>
        <w:keepLines w:val="0"/>
        <w:pageBreakBefore w:val="0"/>
        <w:kinsoku/>
        <w:wordWrap/>
        <w:overflowPunct/>
        <w:topLinePunct w:val="0"/>
        <w:bidi w:val="0"/>
        <w:adjustRightInd w:val="0"/>
        <w:snapToGrid w:val="0"/>
        <w:spacing w:line="38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中国证券监督管理委员会《关于同意国家能源集团长源电力股份有限公司向特定对象发行股票注册的批复》（证监许可〔2024〕1021号）同意注册，并经深圳证券交易所同意，国家能源集团长源电力股份有限公司（以下简称公司）向特定对象发行股份731,707,317股，每股发行价格为人民币4.10元，募集资金总额为人民币2,999,999,999.70元</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扣除各项发行费用（不含增值税）人民币9,366,754.68元，实际募集资金净额为2,990,633,245.02元</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立信会计师事务所（特殊普通合伙）对本次</w:t>
      </w:r>
      <w:r>
        <w:rPr>
          <w:rFonts w:hint="eastAsia" w:ascii="Times New Roman" w:hAnsi="Times New Roman" w:cs="Times New Roman"/>
          <w:color w:val="auto"/>
          <w:sz w:val="24"/>
          <w:highlight w:val="none"/>
          <w:lang w:val="en-US" w:eastAsia="zh-CN"/>
        </w:rPr>
        <w:t>向特定对象</w:t>
      </w:r>
      <w:r>
        <w:rPr>
          <w:rFonts w:hint="default" w:ascii="Times New Roman" w:hAnsi="Times New Roman" w:cs="Times New Roman"/>
          <w:color w:val="auto"/>
          <w:sz w:val="24"/>
          <w:highlight w:val="none"/>
        </w:rPr>
        <w:t>发行</w:t>
      </w:r>
      <w:r>
        <w:rPr>
          <w:rFonts w:hint="eastAsia" w:ascii="Times New Roman" w:hAnsi="Times New Roman" w:cs="Times New Roman"/>
          <w:color w:val="auto"/>
          <w:sz w:val="24"/>
          <w:highlight w:val="none"/>
          <w:lang w:val="en-US" w:eastAsia="zh-CN"/>
        </w:rPr>
        <w:t>股票</w:t>
      </w:r>
      <w:r>
        <w:rPr>
          <w:rFonts w:hint="default" w:ascii="Times New Roman" w:hAnsi="Times New Roman" w:cs="Times New Roman"/>
          <w:color w:val="auto"/>
          <w:sz w:val="24"/>
          <w:highlight w:val="none"/>
        </w:rPr>
        <w:t>募集资金到达公司账户情况进行了审验</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并于2024年11月6日</w:t>
      </w:r>
      <w:r>
        <w:rPr>
          <w:rFonts w:hint="default" w:ascii="Times New Roman" w:hAnsi="Times New Roman" w:cs="Times New Roman"/>
          <w:color w:val="auto"/>
          <w:sz w:val="24"/>
          <w:highlight w:val="none"/>
        </w:rPr>
        <w:t>出具</w:t>
      </w:r>
      <w:r>
        <w:rPr>
          <w:rFonts w:hint="eastAsia" w:ascii="Times New Roman" w:hAnsi="Times New Roman" w:cs="Times New Roman"/>
          <w:color w:val="auto"/>
          <w:sz w:val="24"/>
          <w:highlight w:val="none"/>
          <w:lang w:val="en-US" w:eastAsia="zh-CN"/>
        </w:rPr>
        <w:t>了</w:t>
      </w:r>
      <w:r>
        <w:rPr>
          <w:rFonts w:hint="default" w:ascii="Times New Roman" w:hAnsi="Times New Roman" w:cs="Times New Roman"/>
          <w:color w:val="auto"/>
          <w:sz w:val="24"/>
          <w:highlight w:val="none"/>
        </w:rPr>
        <w:t>《国家能源集团长源电力股份有限公司验资报告》（信会师报字[2024]第ZE22906号）</w:t>
      </w:r>
      <w:r>
        <w:rPr>
          <w:rFonts w:hint="eastAsia" w:ascii="Times New Roman" w:hAnsi="Times New Roman" w:cs="Times New Roman"/>
          <w:color w:val="auto"/>
          <w:sz w:val="24"/>
          <w:highlight w:val="none"/>
          <w:lang w:eastAsia="zh-CN"/>
        </w:rPr>
        <w:t>。</w:t>
      </w:r>
    </w:p>
    <w:p>
      <w:pPr>
        <w:keepNext w:val="0"/>
        <w:keepLines w:val="0"/>
        <w:pageBreakBefore w:val="0"/>
        <w:numPr>
          <w:ilvl w:val="0"/>
          <w:numId w:val="0"/>
        </w:numPr>
        <w:kinsoku/>
        <w:wordWrap/>
        <w:overflowPunct/>
        <w:topLinePunct w:val="0"/>
        <w:bidi w:val="0"/>
        <w:adjustRightInd w:val="0"/>
        <w:snapToGrid w:val="0"/>
        <w:spacing w:line="380" w:lineRule="exact"/>
        <w:ind w:firstLine="482" w:firstLineChars="200"/>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二、募集资金存放和管理情况</w:t>
      </w:r>
    </w:p>
    <w:p>
      <w:pPr>
        <w:keepNext w:val="0"/>
        <w:keepLines w:val="0"/>
        <w:pageBreakBefore w:val="0"/>
        <w:kinsoku/>
        <w:wordWrap/>
        <w:overflowPunct/>
        <w:topLinePunct w:val="0"/>
        <w:bidi w:val="0"/>
        <w:adjustRightInd w:val="0"/>
        <w:snapToGrid w:val="0"/>
        <w:spacing w:line="38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为了规范募集资金的管理和使用，提高资金使用效率和效益，保护投资者权益，公司</w:t>
      </w:r>
      <w:r>
        <w:rPr>
          <w:rFonts w:hint="eastAsia" w:ascii="Times New Roman" w:hAnsi="Times New Roman" w:eastAsia="宋体" w:cs="Times New Roman"/>
          <w:color w:val="auto"/>
          <w:sz w:val="24"/>
          <w:highlight w:val="none"/>
          <w:lang w:val="en-US" w:eastAsia="zh-CN"/>
        </w:rPr>
        <w:t>根据</w:t>
      </w:r>
      <w:r>
        <w:rPr>
          <w:rFonts w:hint="default" w:ascii="Times New Roman" w:hAnsi="Times New Roman" w:eastAsia="宋体" w:cs="Times New Roman"/>
          <w:color w:val="auto"/>
          <w:sz w:val="24"/>
          <w:highlight w:val="none"/>
        </w:rPr>
        <w:t>《上市公司募集资金监管规则》《深圳证券交易所上市公司自律监管指引第1号——主板上市公司规范运作》以及《国家能源集团长源电力股份有限公司募集资金使用与管理制度》的</w:t>
      </w:r>
      <w:r>
        <w:rPr>
          <w:rFonts w:hint="eastAsia" w:ascii="Times New Roman" w:hAnsi="Times New Roman" w:eastAsia="宋体" w:cs="Times New Roman"/>
          <w:color w:val="auto"/>
          <w:sz w:val="24"/>
          <w:highlight w:val="none"/>
          <w:lang w:val="en-US" w:eastAsia="zh-CN"/>
        </w:rPr>
        <w:t>有关</w:t>
      </w:r>
      <w:r>
        <w:rPr>
          <w:rFonts w:hint="default" w:ascii="Times New Roman" w:hAnsi="Times New Roman" w:eastAsia="宋体" w:cs="Times New Roman"/>
          <w:color w:val="auto"/>
          <w:sz w:val="24"/>
          <w:highlight w:val="none"/>
        </w:rPr>
        <w:t>规定，结合经营需要，公司与募投项目实施主体相关的子公司及保荐人、存放募集资金的商业银行签署了募集资金监管协议，对募集资金实施专户存储管理。</w:t>
      </w:r>
    </w:p>
    <w:p>
      <w:pPr>
        <w:keepNext w:val="0"/>
        <w:keepLines w:val="0"/>
        <w:pageBreakBefore w:val="0"/>
        <w:kinsoku/>
        <w:wordWrap/>
        <w:overflowPunct/>
        <w:topLinePunct w:val="0"/>
        <w:bidi w:val="0"/>
        <w:adjustRightInd w:val="0"/>
        <w:snapToGrid w:val="0"/>
        <w:spacing w:line="38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公司与保荐机构中信建投证券股份有限公司及中信银行股份有限公司武汉分行签订了《募集资金三方监管协议》；公司与子公司国能长源随县新能源有限公司、保荐机构中信建投证券股份有限公司及中国建设银行股份有限公司随县支行签订了《募集资金三方监管协议》；公司与子公司国能长源谷城新能源有限公司、保荐机构中信建投证券股份有限公司及中信银行股份有限公司武汉分行签订了《募集资金三方监管协议》；公司与子公司国能长源巴东新能源有限公司、保荐机构中信建投证券股份有限公司及中国建设银行股份有限公司武汉省直支行签订了《募集资金三方监管协议》；公司与子公司国能长源钟祥新能源有限公司、保荐机构中信建投证券股份有限公司及中国农业银行股份有限公司荆门向阳支行签订了《募集资金三方监管协议》；公司与子公司国能长源荆州新能源有限公司、保荐机构中信建投证券股份有限公司及中国建设银行股份有限公司荆州三湾支行签订了《募集资金三方监管协议》；公司与子公司国能长源汉川发电有限公司、保荐机构中信建投证券股份有限公司及中国农业银行股份有限公司汉川支行签订了《募集资金三方监管协议》；公司与子公司国能长源荆门屈家岭新能源有限公司、保荐机构中信建投证券股份有限公司及中国农业银行股份有限公司五三农场支行签订了《募集资金三方监管协议》；公司与子公司国能长源潜江新能源有限公司、保荐机构中信建投证券股份有限公司及中国建设银行股份有限公司荆州三湾支行签订了《募集资金三方监管协议》。</w:t>
      </w:r>
    </w:p>
    <w:p>
      <w:pPr>
        <w:keepNext w:val="0"/>
        <w:keepLines w:val="0"/>
        <w:pageBreakBefore w:val="0"/>
        <w:kinsoku/>
        <w:wordWrap/>
        <w:overflowPunct/>
        <w:topLinePunct w:val="0"/>
        <w:bidi w:val="0"/>
        <w:adjustRightInd w:val="0"/>
        <w:snapToGrid w:val="0"/>
        <w:spacing w:line="38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截至</w:t>
      </w:r>
      <w:r>
        <w:rPr>
          <w:rFonts w:hint="eastAsia" w:ascii="Times New Roman" w:hAnsi="Times New Roman" w:eastAsia="宋体" w:cs="Times New Roman"/>
          <w:color w:val="auto"/>
          <w:sz w:val="24"/>
          <w:highlight w:val="none"/>
          <w:lang w:val="en-US" w:eastAsia="zh-CN"/>
        </w:rPr>
        <w:t>目前</w:t>
      </w:r>
      <w:r>
        <w:rPr>
          <w:rFonts w:hint="default" w:ascii="Times New Roman" w:hAnsi="Times New Roman" w:eastAsia="宋体" w:cs="Times New Roman"/>
          <w:color w:val="auto"/>
          <w:sz w:val="24"/>
          <w:highlight w:val="none"/>
        </w:rPr>
        <w:t>，公司募集资金</w:t>
      </w:r>
      <w:r>
        <w:rPr>
          <w:rFonts w:hint="eastAsia" w:ascii="Times New Roman" w:hAnsi="Times New Roman" w:eastAsia="宋体" w:cs="Times New Roman"/>
          <w:color w:val="auto"/>
          <w:sz w:val="24"/>
          <w:highlight w:val="none"/>
          <w:lang w:val="en-US" w:eastAsia="zh-CN"/>
        </w:rPr>
        <w:t>专户的具体</w:t>
      </w:r>
      <w:r>
        <w:rPr>
          <w:rFonts w:hint="default" w:ascii="Times New Roman" w:hAnsi="Times New Roman" w:eastAsia="宋体" w:cs="Times New Roman"/>
          <w:color w:val="auto"/>
          <w:sz w:val="24"/>
          <w:highlight w:val="none"/>
        </w:rPr>
        <w:t>情况如下:</w:t>
      </w:r>
    </w:p>
    <w:tbl>
      <w:tblPr>
        <w:tblStyle w:val="18"/>
        <w:tblW w:w="4876" w:type="pc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3"/>
        <w:gridCol w:w="2708"/>
        <w:gridCol w:w="2447"/>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eastAsia" w:ascii="Times New Roman" w:hAnsi="Times New Roman" w:eastAsia="宋体" w:cs="Times New Roman"/>
                <w:b/>
                <w:bCs/>
                <w:i w:val="0"/>
                <w:iCs w:val="0"/>
                <w:color w:val="auto"/>
                <w:kern w:val="0"/>
                <w:sz w:val="21"/>
                <w:szCs w:val="21"/>
                <w:highlight w:val="none"/>
                <w:u w:val="none"/>
                <w:lang w:val="en-US" w:eastAsia="zh-CN" w:bidi="ar"/>
              </w:rPr>
              <w:t>账户名称</w:t>
            </w:r>
          </w:p>
        </w:tc>
        <w:tc>
          <w:tcPr>
            <w:tcW w:w="15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eastAsia" w:ascii="Times New Roman" w:hAnsi="Times New Roman" w:eastAsia="宋体" w:cs="Times New Roman"/>
                <w:b/>
                <w:bCs/>
                <w:i w:val="0"/>
                <w:iCs w:val="0"/>
                <w:color w:val="auto"/>
                <w:kern w:val="0"/>
                <w:sz w:val="21"/>
                <w:szCs w:val="21"/>
                <w:highlight w:val="none"/>
                <w:u w:val="none"/>
                <w:lang w:val="en-US" w:eastAsia="zh-CN" w:bidi="ar"/>
              </w:rPr>
              <w:t>开户银行</w:t>
            </w: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银行账号</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eastAsia" w:ascii="Times New Roman" w:hAnsi="Times New Roman" w:eastAsia="宋体" w:cs="Times New Roman"/>
                <w:b/>
                <w:bCs/>
                <w:i w:val="0"/>
                <w:iCs w:val="0"/>
                <w:color w:val="auto"/>
                <w:kern w:val="0"/>
                <w:sz w:val="21"/>
                <w:szCs w:val="21"/>
                <w:highlight w:val="none"/>
                <w:u w:val="none"/>
                <w:lang w:val="en-US" w:eastAsia="zh-CN" w:bidi="ar"/>
              </w:rPr>
              <w:t>账户状态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国家能源集团长源电力股份有限公司</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中信银行股份有限公司武汉分行</w:t>
            </w:r>
          </w:p>
        </w:tc>
        <w:tc>
          <w:tcPr>
            <w:tcW w:w="1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8111501011001241639</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国能长源汉川发电有限公司</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中国农业银行股份有限公司汉川支行</w:t>
            </w:r>
          </w:p>
        </w:tc>
        <w:tc>
          <w:tcPr>
            <w:tcW w:w="1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17531201040026504</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国能长源随县新能源有限公司</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中国建设银行股份有限公司随县支行</w:t>
            </w:r>
          </w:p>
        </w:tc>
        <w:tc>
          <w:tcPr>
            <w:tcW w:w="1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42050181004100000912</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国能长源钟祥新能源有限公司</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中国农业银行股份有限公司荆门向阳支行</w:t>
            </w:r>
          </w:p>
        </w:tc>
        <w:tc>
          <w:tcPr>
            <w:tcW w:w="1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17568101040029142</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国能长源潜江新能源有限公司</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中国建设银行股份有限公司荆州三湾支行</w:t>
            </w:r>
          </w:p>
        </w:tc>
        <w:tc>
          <w:tcPr>
            <w:tcW w:w="1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42050162610100001186</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国能长源谷城新能源有限公司</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中信银行股份有限公司武汉分行</w:t>
            </w:r>
          </w:p>
        </w:tc>
        <w:tc>
          <w:tcPr>
            <w:tcW w:w="1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8111501011701244229</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国能长源荆州新能源有限公司</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中国建设银行股份有限公司荆州三湾支行</w:t>
            </w:r>
          </w:p>
        </w:tc>
        <w:tc>
          <w:tcPr>
            <w:tcW w:w="1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42050162610100001185</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国能长源巴东新能源有限公司</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中国建设银行股份有限公司武汉省直支行</w:t>
            </w:r>
          </w:p>
        </w:tc>
        <w:tc>
          <w:tcPr>
            <w:tcW w:w="1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42050186575700001406</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国能长源荆门屈家岭新能源有限公司</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中国农业银行股份有限公司五三农场支行</w:t>
            </w:r>
          </w:p>
        </w:tc>
        <w:tc>
          <w:tcPr>
            <w:tcW w:w="1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17551201040018043</w:t>
            </w:r>
          </w:p>
        </w:tc>
        <w:tc>
          <w:tcPr>
            <w:tcW w:w="9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已注销</w:t>
            </w:r>
          </w:p>
        </w:tc>
      </w:tr>
    </w:tbl>
    <w:p>
      <w:pPr>
        <w:pStyle w:val="7"/>
        <w:keepNext w:val="0"/>
        <w:keepLines w:val="0"/>
        <w:pageBreakBefore w:val="0"/>
        <w:kinsoku/>
        <w:wordWrap/>
        <w:overflowPunct/>
        <w:topLinePunct w:val="0"/>
        <w:autoSpaceDE/>
        <w:autoSpaceDN/>
        <w:bidi w:val="0"/>
        <w:spacing w:before="0" w:line="380" w:lineRule="exact"/>
        <w:ind w:left="0" w:leftChars="0" w:right="598" w:firstLine="482" w:firstLineChars="200"/>
        <w:jc w:val="both"/>
        <w:rPr>
          <w:rFonts w:hint="default" w:ascii="Times New Roman" w:hAnsi="Times New Roman" w:eastAsia="宋体" w:cs="Times New Roman"/>
          <w:b/>
          <w:bCs/>
          <w:color w:val="auto"/>
          <w:kern w:val="2"/>
          <w:sz w:val="24"/>
          <w:szCs w:val="24"/>
          <w:highlight w:val="none"/>
          <w:lang w:val="en-US" w:eastAsia="zh-CN" w:bidi="ar-SA"/>
        </w:rPr>
      </w:pPr>
    </w:p>
    <w:p>
      <w:pPr>
        <w:pStyle w:val="7"/>
        <w:keepNext w:val="0"/>
        <w:keepLines w:val="0"/>
        <w:pageBreakBefore w:val="0"/>
        <w:kinsoku/>
        <w:wordWrap/>
        <w:overflowPunct/>
        <w:topLinePunct w:val="0"/>
        <w:autoSpaceDE/>
        <w:autoSpaceDN/>
        <w:bidi w:val="0"/>
        <w:spacing w:before="0" w:line="380" w:lineRule="exact"/>
        <w:ind w:left="0" w:leftChars="0" w:right="598" w:firstLine="482" w:firstLine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三、募集资金</w:t>
      </w:r>
      <w:r>
        <w:rPr>
          <w:rFonts w:hint="eastAsia" w:ascii="Times New Roman" w:hAnsi="Times New Roman" w:eastAsia="宋体" w:cs="Times New Roman"/>
          <w:b/>
          <w:bCs/>
          <w:color w:val="auto"/>
          <w:kern w:val="2"/>
          <w:sz w:val="24"/>
          <w:szCs w:val="24"/>
          <w:highlight w:val="none"/>
          <w:lang w:val="en-US" w:eastAsia="zh-CN" w:bidi="ar-SA"/>
        </w:rPr>
        <w:t>专户注销情况</w:t>
      </w:r>
    </w:p>
    <w:p>
      <w:pPr>
        <w:keepNext w:val="0"/>
        <w:keepLines w:val="0"/>
        <w:pageBreakBefore w:val="0"/>
        <w:kinsoku/>
        <w:wordWrap/>
        <w:overflowPunct/>
        <w:topLinePunct w:val="0"/>
        <w:bidi w:val="0"/>
        <w:adjustRightInd w:val="0"/>
        <w:snapToGrid w:val="0"/>
        <w:spacing w:line="380" w:lineRule="exact"/>
        <w:ind w:firstLine="470" w:firstLineChars="196"/>
        <w:textAlignment w:val="auto"/>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截至 2025 年12月31日，公司本次向特定对象发行股票募集资金已按规定用途</w:t>
      </w:r>
      <w:r>
        <w:rPr>
          <w:rFonts w:hint="eastAsia" w:ascii="Times New Roman" w:hAnsi="Times New Roman" w:cs="Times New Roman"/>
          <w:b w:val="0"/>
          <w:bCs/>
          <w:color w:val="auto"/>
          <w:sz w:val="24"/>
          <w:highlight w:val="none"/>
          <w:lang w:val="en-US" w:eastAsia="zh-CN"/>
        </w:rPr>
        <w:t>全部</w:t>
      </w:r>
      <w:r>
        <w:rPr>
          <w:rFonts w:hint="default" w:ascii="Times New Roman" w:hAnsi="Times New Roman" w:cs="Times New Roman"/>
          <w:b w:val="0"/>
          <w:bCs/>
          <w:color w:val="auto"/>
          <w:sz w:val="24"/>
          <w:highlight w:val="none"/>
          <w:lang w:val="en-US" w:eastAsia="zh-CN"/>
        </w:rPr>
        <w:t>使用完毕。公司已于近</w:t>
      </w:r>
      <w:r>
        <w:rPr>
          <w:rFonts w:hint="eastAsia" w:ascii="Times New Roman" w:hAnsi="Times New Roman" w:cs="Times New Roman"/>
          <w:b w:val="0"/>
          <w:bCs/>
          <w:color w:val="auto"/>
          <w:sz w:val="24"/>
          <w:highlight w:val="none"/>
          <w:lang w:val="en-US" w:eastAsia="zh-CN"/>
        </w:rPr>
        <w:t>日</w:t>
      </w:r>
      <w:r>
        <w:rPr>
          <w:rFonts w:hint="default" w:ascii="Times New Roman" w:hAnsi="Times New Roman" w:cs="Times New Roman"/>
          <w:b w:val="0"/>
          <w:bCs/>
          <w:color w:val="auto"/>
          <w:sz w:val="24"/>
          <w:highlight w:val="none"/>
          <w:lang w:val="en-US" w:eastAsia="zh-CN"/>
        </w:rPr>
        <w:t>办理完成了</w:t>
      </w:r>
      <w:r>
        <w:rPr>
          <w:rFonts w:hint="eastAsia" w:ascii="Times New Roman" w:hAnsi="Times New Roman" w:cs="Times New Roman"/>
          <w:b w:val="0"/>
          <w:bCs/>
          <w:color w:val="auto"/>
          <w:sz w:val="24"/>
          <w:highlight w:val="none"/>
          <w:lang w:val="en-US" w:eastAsia="zh-CN"/>
        </w:rPr>
        <w:t>所有</w:t>
      </w:r>
      <w:r>
        <w:rPr>
          <w:rFonts w:hint="default" w:ascii="Times New Roman" w:hAnsi="Times New Roman" w:cs="Times New Roman"/>
          <w:b w:val="0"/>
          <w:bCs/>
          <w:color w:val="auto"/>
          <w:sz w:val="24"/>
          <w:highlight w:val="none"/>
          <w:lang w:val="en-US" w:eastAsia="zh-CN"/>
        </w:rPr>
        <w:t>募集资金专户的注销手续</w:t>
      </w:r>
      <w:r>
        <w:rPr>
          <w:rFonts w:hint="eastAsia" w:cs="Times New Roman"/>
          <w:b w:val="0"/>
          <w:bCs/>
          <w:color w:val="auto"/>
          <w:sz w:val="24"/>
          <w:highlight w:val="none"/>
          <w:lang w:val="en-US" w:eastAsia="zh-CN"/>
        </w:rPr>
        <w:t>。</w:t>
      </w:r>
      <w:r>
        <w:rPr>
          <w:rFonts w:hint="default" w:ascii="Times New Roman" w:hAnsi="Times New Roman" w:cs="Times New Roman"/>
          <w:b w:val="0"/>
          <w:bCs/>
          <w:color w:val="auto"/>
          <w:sz w:val="24"/>
          <w:highlight w:val="none"/>
          <w:lang w:val="en-US" w:eastAsia="zh-CN"/>
        </w:rPr>
        <w:t>本次募集资金专户注销后，</w:t>
      </w:r>
      <w:r>
        <w:rPr>
          <w:rFonts w:hint="default" w:ascii="Times New Roman" w:hAnsi="Times New Roman" w:eastAsia="宋体" w:cs="Times New Roman"/>
          <w:color w:val="auto"/>
          <w:sz w:val="24"/>
          <w:highlight w:val="none"/>
        </w:rPr>
        <w:t>公司与募投项目实施主体相关的子公司及保荐人、存放募集资金的商业银行签署</w:t>
      </w:r>
      <w:r>
        <w:rPr>
          <w:rFonts w:hint="eastAsia" w:ascii="Times New Roman" w:hAnsi="Times New Roman" w:eastAsia="宋体" w:cs="Times New Roman"/>
          <w:color w:val="auto"/>
          <w:sz w:val="24"/>
          <w:highlight w:val="none"/>
          <w:lang w:val="en-US" w:eastAsia="zh-CN"/>
        </w:rPr>
        <w:t>的所有</w:t>
      </w:r>
      <w:r>
        <w:rPr>
          <w:rFonts w:hint="default" w:ascii="Times New Roman" w:hAnsi="Times New Roman" w:eastAsia="宋体" w:cs="Times New Roman"/>
          <w:color w:val="auto"/>
          <w:sz w:val="24"/>
          <w:highlight w:val="none"/>
        </w:rPr>
        <w:t>募集资金监管协议</w:t>
      </w:r>
      <w:r>
        <w:rPr>
          <w:rFonts w:hint="default" w:ascii="Times New Roman" w:hAnsi="Times New Roman" w:cs="Times New Roman"/>
          <w:b w:val="0"/>
          <w:bCs/>
          <w:color w:val="auto"/>
          <w:sz w:val="24"/>
          <w:highlight w:val="none"/>
          <w:lang w:val="en-US" w:eastAsia="zh-CN"/>
        </w:rPr>
        <w:t xml:space="preserve">相应终止。 </w:t>
      </w:r>
    </w:p>
    <w:p>
      <w:pPr>
        <w:spacing w:line="380" w:lineRule="exact"/>
        <w:ind w:firstLine="482" w:firstLineChars="200"/>
        <w:contextualSpacing/>
        <w:rPr>
          <w:rFonts w:hint="default" w:ascii="Times New Roman" w:hAnsi="Times New Roman" w:cs="Times New Roman"/>
          <w:bCs/>
          <w:color w:val="auto"/>
          <w:sz w:val="24"/>
          <w:highlight w:val="none"/>
        </w:rPr>
      </w:pPr>
      <w:r>
        <w:rPr>
          <w:rFonts w:hint="eastAsia" w:cs="Times New Roman"/>
          <w:b/>
          <w:color w:val="auto"/>
          <w:sz w:val="24"/>
          <w:highlight w:val="none"/>
          <w:lang w:val="en-US" w:eastAsia="zh-CN"/>
        </w:rPr>
        <w:t>四</w:t>
      </w:r>
      <w:r>
        <w:rPr>
          <w:rFonts w:hint="default" w:ascii="Times New Roman" w:hAnsi="Times New Roman" w:cs="Times New Roman"/>
          <w:b/>
          <w:color w:val="auto"/>
          <w:sz w:val="24"/>
          <w:highlight w:val="none"/>
        </w:rPr>
        <w:t>、备查文件</w:t>
      </w:r>
    </w:p>
    <w:p>
      <w:pPr>
        <w:spacing w:line="38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募集资金专户销户的证明文件</w:t>
      </w:r>
      <w:r>
        <w:rPr>
          <w:rFonts w:hint="eastAsia" w:ascii="Times New Roman" w:hAnsi="Times New Roman" w:cs="Times New Roman"/>
          <w:bCs/>
          <w:color w:val="auto"/>
          <w:sz w:val="24"/>
          <w:highlight w:val="none"/>
          <w:lang w:eastAsia="zh-CN"/>
        </w:rPr>
        <w:t>。</w:t>
      </w:r>
    </w:p>
    <w:p>
      <w:pPr>
        <w:pStyle w:val="17"/>
        <w:keepNext w:val="0"/>
        <w:keepLines w:val="0"/>
        <w:pageBreakBefore w:val="0"/>
        <w:kinsoku/>
        <w:wordWrap/>
        <w:overflowPunct/>
        <w:topLinePunct w:val="0"/>
        <w:bidi w:val="0"/>
        <w:spacing w:after="0" w:line="380" w:lineRule="exact"/>
        <w:textAlignment w:val="auto"/>
        <w:rPr>
          <w:rFonts w:hint="default" w:ascii="Times New Roman" w:hAnsi="Times New Roman" w:cs="Times New Roman"/>
          <w:color w:val="auto"/>
          <w:highlight w:val="none"/>
        </w:rPr>
      </w:pPr>
    </w:p>
    <w:p>
      <w:pPr>
        <w:keepNext w:val="0"/>
        <w:keepLines w:val="0"/>
        <w:pageBreakBefore w:val="0"/>
        <w:kinsoku/>
        <w:wordWrap/>
        <w:overflowPunct/>
        <w:topLinePunct w:val="0"/>
        <w:bidi w:val="0"/>
        <w:adjustRightInd w:val="0"/>
        <w:snapToGrid w:val="0"/>
        <w:spacing w:line="38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特此公告。</w:t>
      </w:r>
    </w:p>
    <w:p>
      <w:pPr>
        <w:keepNext w:val="0"/>
        <w:keepLines w:val="0"/>
        <w:pageBreakBefore w:val="0"/>
        <w:kinsoku/>
        <w:wordWrap/>
        <w:overflowPunct/>
        <w:topLinePunct w:val="0"/>
        <w:bidi w:val="0"/>
        <w:adjustRightInd w:val="0"/>
        <w:snapToGrid w:val="0"/>
        <w:spacing w:line="380" w:lineRule="exact"/>
        <w:ind w:firstLine="480" w:firstLineChars="200"/>
        <w:textAlignment w:val="auto"/>
        <w:rPr>
          <w:rFonts w:hint="default" w:ascii="Times New Roman" w:hAnsi="Times New Roman" w:cs="Times New Roman"/>
          <w:color w:val="auto"/>
          <w:sz w:val="24"/>
          <w:highlight w:val="none"/>
        </w:rPr>
      </w:pPr>
    </w:p>
    <w:p>
      <w:pPr>
        <w:keepNext w:val="0"/>
        <w:keepLines w:val="0"/>
        <w:pageBreakBefore w:val="0"/>
        <w:widowControl/>
        <w:kinsoku/>
        <w:wordWrap/>
        <w:overflowPunct/>
        <w:topLinePunct w:val="0"/>
        <w:bidi w:val="0"/>
        <w:adjustRightInd w:val="0"/>
        <w:snapToGrid w:val="0"/>
        <w:spacing w:line="380" w:lineRule="exact"/>
        <w:jc w:val="right"/>
        <w:textAlignment w:val="auto"/>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国家能源集团</w:t>
      </w:r>
      <w:r>
        <w:rPr>
          <w:rFonts w:hint="default" w:ascii="Times New Roman" w:hAnsi="Times New Roman" w:cs="Times New Roman"/>
          <w:color w:val="auto"/>
          <w:sz w:val="24"/>
          <w:highlight w:val="none"/>
        </w:rPr>
        <w:t>长源电力股份有限公司董事会</w:t>
      </w:r>
    </w:p>
    <w:p>
      <w:pPr>
        <w:widowControl/>
        <w:adjustRightInd w:val="0"/>
        <w:snapToGrid w:val="0"/>
        <w:spacing w:line="380" w:lineRule="exact"/>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20</w:t>
      </w:r>
      <w:r>
        <w:rPr>
          <w:rFonts w:hint="default"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lang w:val="en-US" w:eastAsia="zh-CN"/>
        </w:rPr>
        <w:t xml:space="preserve">                                                       </w:t>
      </w:r>
    </w:p>
    <w:sectPr>
      <w:footerReference r:id="rId3" w:type="default"/>
      <w:pgSz w:w="11906" w:h="16838"/>
      <w:pgMar w:top="1134" w:right="1588" w:bottom="1134" w:left="158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EE9"/>
    <w:rsid w:val="0000151B"/>
    <w:rsid w:val="00007C84"/>
    <w:rsid w:val="0002488B"/>
    <w:rsid w:val="000256CD"/>
    <w:rsid w:val="00025BDE"/>
    <w:rsid w:val="00032CF5"/>
    <w:rsid w:val="0003302C"/>
    <w:rsid w:val="00040717"/>
    <w:rsid w:val="00043239"/>
    <w:rsid w:val="000468F2"/>
    <w:rsid w:val="000524A2"/>
    <w:rsid w:val="0005399E"/>
    <w:rsid w:val="00055444"/>
    <w:rsid w:val="00061D3C"/>
    <w:rsid w:val="00071D60"/>
    <w:rsid w:val="000737E5"/>
    <w:rsid w:val="00073965"/>
    <w:rsid w:val="00074995"/>
    <w:rsid w:val="00082114"/>
    <w:rsid w:val="000833BC"/>
    <w:rsid w:val="000874E9"/>
    <w:rsid w:val="000900CF"/>
    <w:rsid w:val="000901A4"/>
    <w:rsid w:val="00093339"/>
    <w:rsid w:val="000A2695"/>
    <w:rsid w:val="000A3CE8"/>
    <w:rsid w:val="000A6BDF"/>
    <w:rsid w:val="000B4771"/>
    <w:rsid w:val="000C0EAC"/>
    <w:rsid w:val="000C0F0D"/>
    <w:rsid w:val="000D1DA1"/>
    <w:rsid w:val="000D20BD"/>
    <w:rsid w:val="000D2E1E"/>
    <w:rsid w:val="000E332E"/>
    <w:rsid w:val="000E359D"/>
    <w:rsid w:val="000E52EB"/>
    <w:rsid w:val="00101923"/>
    <w:rsid w:val="00114FB7"/>
    <w:rsid w:val="0011648B"/>
    <w:rsid w:val="0011650B"/>
    <w:rsid w:val="00126B42"/>
    <w:rsid w:val="00131AE4"/>
    <w:rsid w:val="001360BD"/>
    <w:rsid w:val="001415D2"/>
    <w:rsid w:val="00160485"/>
    <w:rsid w:val="0016394B"/>
    <w:rsid w:val="001777BC"/>
    <w:rsid w:val="00184801"/>
    <w:rsid w:val="00190FB1"/>
    <w:rsid w:val="001A24A6"/>
    <w:rsid w:val="001A30C7"/>
    <w:rsid w:val="001B0B62"/>
    <w:rsid w:val="001B16BD"/>
    <w:rsid w:val="001B3365"/>
    <w:rsid w:val="001B4CD9"/>
    <w:rsid w:val="001B71D5"/>
    <w:rsid w:val="001C0072"/>
    <w:rsid w:val="001C1ADD"/>
    <w:rsid w:val="001C66C6"/>
    <w:rsid w:val="001D3027"/>
    <w:rsid w:val="001D6A44"/>
    <w:rsid w:val="001E1D5B"/>
    <w:rsid w:val="002122A3"/>
    <w:rsid w:val="002149F0"/>
    <w:rsid w:val="002218A4"/>
    <w:rsid w:val="00230137"/>
    <w:rsid w:val="00231BCB"/>
    <w:rsid w:val="00234C41"/>
    <w:rsid w:val="00235AFC"/>
    <w:rsid w:val="002369D9"/>
    <w:rsid w:val="00257B19"/>
    <w:rsid w:val="00260339"/>
    <w:rsid w:val="00262F52"/>
    <w:rsid w:val="0026470F"/>
    <w:rsid w:val="0026521E"/>
    <w:rsid w:val="00271E2C"/>
    <w:rsid w:val="0028133B"/>
    <w:rsid w:val="00281500"/>
    <w:rsid w:val="00283446"/>
    <w:rsid w:val="00283D4B"/>
    <w:rsid w:val="0028532D"/>
    <w:rsid w:val="002A79E9"/>
    <w:rsid w:val="002A7F59"/>
    <w:rsid w:val="002B26CA"/>
    <w:rsid w:val="002B4D02"/>
    <w:rsid w:val="002B54FD"/>
    <w:rsid w:val="002C3678"/>
    <w:rsid w:val="002D1466"/>
    <w:rsid w:val="002D4DE3"/>
    <w:rsid w:val="002E0DC6"/>
    <w:rsid w:val="002E3B19"/>
    <w:rsid w:val="002E5611"/>
    <w:rsid w:val="002E594B"/>
    <w:rsid w:val="002E71D3"/>
    <w:rsid w:val="002F6878"/>
    <w:rsid w:val="002F715B"/>
    <w:rsid w:val="002F73EA"/>
    <w:rsid w:val="003008F5"/>
    <w:rsid w:val="00301001"/>
    <w:rsid w:val="00301BBE"/>
    <w:rsid w:val="00305007"/>
    <w:rsid w:val="003078F2"/>
    <w:rsid w:val="003107AC"/>
    <w:rsid w:val="003213F1"/>
    <w:rsid w:val="00324736"/>
    <w:rsid w:val="0032601C"/>
    <w:rsid w:val="0032740B"/>
    <w:rsid w:val="003301DE"/>
    <w:rsid w:val="0033297C"/>
    <w:rsid w:val="00332A05"/>
    <w:rsid w:val="00332E23"/>
    <w:rsid w:val="003332AD"/>
    <w:rsid w:val="003409E4"/>
    <w:rsid w:val="00345EBF"/>
    <w:rsid w:val="0034634F"/>
    <w:rsid w:val="0035029C"/>
    <w:rsid w:val="003532C7"/>
    <w:rsid w:val="00357721"/>
    <w:rsid w:val="00370C55"/>
    <w:rsid w:val="00382C5C"/>
    <w:rsid w:val="00385C3F"/>
    <w:rsid w:val="0039282F"/>
    <w:rsid w:val="003B2E23"/>
    <w:rsid w:val="003B6707"/>
    <w:rsid w:val="003C1359"/>
    <w:rsid w:val="003C24E3"/>
    <w:rsid w:val="003C38C8"/>
    <w:rsid w:val="003C62A6"/>
    <w:rsid w:val="003C7686"/>
    <w:rsid w:val="003C7C2F"/>
    <w:rsid w:val="003E2ECA"/>
    <w:rsid w:val="003E4AFE"/>
    <w:rsid w:val="003E5A46"/>
    <w:rsid w:val="003E6EC1"/>
    <w:rsid w:val="003F6799"/>
    <w:rsid w:val="003F73A1"/>
    <w:rsid w:val="004010F5"/>
    <w:rsid w:val="00404327"/>
    <w:rsid w:val="00407802"/>
    <w:rsid w:val="00412F1E"/>
    <w:rsid w:val="004243AA"/>
    <w:rsid w:val="0042494C"/>
    <w:rsid w:val="00434662"/>
    <w:rsid w:val="00436C0F"/>
    <w:rsid w:val="0043766D"/>
    <w:rsid w:val="00444249"/>
    <w:rsid w:val="00450AE2"/>
    <w:rsid w:val="00460033"/>
    <w:rsid w:val="00467220"/>
    <w:rsid w:val="00477A57"/>
    <w:rsid w:val="0048007E"/>
    <w:rsid w:val="0048114A"/>
    <w:rsid w:val="00491E09"/>
    <w:rsid w:val="004923A7"/>
    <w:rsid w:val="0049274C"/>
    <w:rsid w:val="004A0EAF"/>
    <w:rsid w:val="004A6858"/>
    <w:rsid w:val="004C542D"/>
    <w:rsid w:val="004D1894"/>
    <w:rsid w:val="004D3E83"/>
    <w:rsid w:val="004D7FEA"/>
    <w:rsid w:val="004E20C0"/>
    <w:rsid w:val="004F1A44"/>
    <w:rsid w:val="004F3C95"/>
    <w:rsid w:val="0050020F"/>
    <w:rsid w:val="005107B4"/>
    <w:rsid w:val="005129C9"/>
    <w:rsid w:val="00512D50"/>
    <w:rsid w:val="00524603"/>
    <w:rsid w:val="00524803"/>
    <w:rsid w:val="00525DF3"/>
    <w:rsid w:val="00536E3A"/>
    <w:rsid w:val="00543E13"/>
    <w:rsid w:val="00552FA2"/>
    <w:rsid w:val="00554C52"/>
    <w:rsid w:val="00574CC7"/>
    <w:rsid w:val="00575684"/>
    <w:rsid w:val="00580CF6"/>
    <w:rsid w:val="0058647F"/>
    <w:rsid w:val="00591EB5"/>
    <w:rsid w:val="00595CD9"/>
    <w:rsid w:val="005977FC"/>
    <w:rsid w:val="005A3286"/>
    <w:rsid w:val="005A6EF1"/>
    <w:rsid w:val="005B088B"/>
    <w:rsid w:val="005C7E3E"/>
    <w:rsid w:val="005D1A32"/>
    <w:rsid w:val="005D50D7"/>
    <w:rsid w:val="005D5A66"/>
    <w:rsid w:val="005E535C"/>
    <w:rsid w:val="005E61AF"/>
    <w:rsid w:val="005F7775"/>
    <w:rsid w:val="00612789"/>
    <w:rsid w:val="006166E9"/>
    <w:rsid w:val="00620004"/>
    <w:rsid w:val="00623419"/>
    <w:rsid w:val="0062376F"/>
    <w:rsid w:val="006243B9"/>
    <w:rsid w:val="00631160"/>
    <w:rsid w:val="00637731"/>
    <w:rsid w:val="00643500"/>
    <w:rsid w:val="0064759F"/>
    <w:rsid w:val="006512C0"/>
    <w:rsid w:val="0065632D"/>
    <w:rsid w:val="00657958"/>
    <w:rsid w:val="006645E8"/>
    <w:rsid w:val="00667273"/>
    <w:rsid w:val="00670761"/>
    <w:rsid w:val="00680DE4"/>
    <w:rsid w:val="00685573"/>
    <w:rsid w:val="00695F9F"/>
    <w:rsid w:val="006A4844"/>
    <w:rsid w:val="006B3A4B"/>
    <w:rsid w:val="006B7B3F"/>
    <w:rsid w:val="006C4688"/>
    <w:rsid w:val="006D3B28"/>
    <w:rsid w:val="006E741D"/>
    <w:rsid w:val="006E7631"/>
    <w:rsid w:val="006F40F1"/>
    <w:rsid w:val="006F7738"/>
    <w:rsid w:val="006F7C44"/>
    <w:rsid w:val="007005A0"/>
    <w:rsid w:val="00722C8E"/>
    <w:rsid w:val="0072657B"/>
    <w:rsid w:val="00726894"/>
    <w:rsid w:val="00730DAB"/>
    <w:rsid w:val="00737058"/>
    <w:rsid w:val="00745473"/>
    <w:rsid w:val="00751A98"/>
    <w:rsid w:val="00756A10"/>
    <w:rsid w:val="007576A5"/>
    <w:rsid w:val="00762477"/>
    <w:rsid w:val="00767751"/>
    <w:rsid w:val="00767BC4"/>
    <w:rsid w:val="00772508"/>
    <w:rsid w:val="007803FC"/>
    <w:rsid w:val="00782B4E"/>
    <w:rsid w:val="007875E5"/>
    <w:rsid w:val="007908A5"/>
    <w:rsid w:val="007A14B6"/>
    <w:rsid w:val="007B2F25"/>
    <w:rsid w:val="007B5A07"/>
    <w:rsid w:val="007D393D"/>
    <w:rsid w:val="007E24B2"/>
    <w:rsid w:val="007E27C8"/>
    <w:rsid w:val="007E63E6"/>
    <w:rsid w:val="007F0F77"/>
    <w:rsid w:val="007F1953"/>
    <w:rsid w:val="00800A89"/>
    <w:rsid w:val="00820519"/>
    <w:rsid w:val="00830058"/>
    <w:rsid w:val="008300CB"/>
    <w:rsid w:val="00837BE7"/>
    <w:rsid w:val="00844875"/>
    <w:rsid w:val="0085453C"/>
    <w:rsid w:val="00855AB4"/>
    <w:rsid w:val="00882AFA"/>
    <w:rsid w:val="0088642D"/>
    <w:rsid w:val="00890038"/>
    <w:rsid w:val="00893927"/>
    <w:rsid w:val="00893985"/>
    <w:rsid w:val="008A1647"/>
    <w:rsid w:val="008B106F"/>
    <w:rsid w:val="008B38BE"/>
    <w:rsid w:val="008C0522"/>
    <w:rsid w:val="008E4770"/>
    <w:rsid w:val="008F5173"/>
    <w:rsid w:val="00900698"/>
    <w:rsid w:val="009065DF"/>
    <w:rsid w:val="00906A3F"/>
    <w:rsid w:val="00906DEC"/>
    <w:rsid w:val="009079AB"/>
    <w:rsid w:val="00915412"/>
    <w:rsid w:val="009156E5"/>
    <w:rsid w:val="009159C4"/>
    <w:rsid w:val="00917485"/>
    <w:rsid w:val="0092301D"/>
    <w:rsid w:val="009256D5"/>
    <w:rsid w:val="00926F4E"/>
    <w:rsid w:val="009274F1"/>
    <w:rsid w:val="009322B7"/>
    <w:rsid w:val="00934346"/>
    <w:rsid w:val="009452CE"/>
    <w:rsid w:val="00950A94"/>
    <w:rsid w:val="00964E94"/>
    <w:rsid w:val="00965FAA"/>
    <w:rsid w:val="00967962"/>
    <w:rsid w:val="00973969"/>
    <w:rsid w:val="00973A89"/>
    <w:rsid w:val="00977732"/>
    <w:rsid w:val="00983546"/>
    <w:rsid w:val="00994A47"/>
    <w:rsid w:val="009969A8"/>
    <w:rsid w:val="009A0DF6"/>
    <w:rsid w:val="009A27DA"/>
    <w:rsid w:val="009B5FE2"/>
    <w:rsid w:val="009B7365"/>
    <w:rsid w:val="009C1D23"/>
    <w:rsid w:val="009C5137"/>
    <w:rsid w:val="009C7B0A"/>
    <w:rsid w:val="009D10C6"/>
    <w:rsid w:val="009E0A9F"/>
    <w:rsid w:val="009E194B"/>
    <w:rsid w:val="009F328E"/>
    <w:rsid w:val="009F3A9C"/>
    <w:rsid w:val="00A20B40"/>
    <w:rsid w:val="00A30BAB"/>
    <w:rsid w:val="00A40069"/>
    <w:rsid w:val="00A41C98"/>
    <w:rsid w:val="00A43CA8"/>
    <w:rsid w:val="00A64188"/>
    <w:rsid w:val="00A64C09"/>
    <w:rsid w:val="00A65E11"/>
    <w:rsid w:val="00A83002"/>
    <w:rsid w:val="00A86214"/>
    <w:rsid w:val="00A864A8"/>
    <w:rsid w:val="00A8663B"/>
    <w:rsid w:val="00A878EC"/>
    <w:rsid w:val="00A9030F"/>
    <w:rsid w:val="00A93789"/>
    <w:rsid w:val="00AA652E"/>
    <w:rsid w:val="00AB0082"/>
    <w:rsid w:val="00AB0090"/>
    <w:rsid w:val="00AB2618"/>
    <w:rsid w:val="00AB5C9A"/>
    <w:rsid w:val="00AD05EF"/>
    <w:rsid w:val="00AD25A3"/>
    <w:rsid w:val="00AD3EAC"/>
    <w:rsid w:val="00AD5A6D"/>
    <w:rsid w:val="00AE4BBB"/>
    <w:rsid w:val="00AF1167"/>
    <w:rsid w:val="00AF7182"/>
    <w:rsid w:val="00B05377"/>
    <w:rsid w:val="00B12A8C"/>
    <w:rsid w:val="00B13732"/>
    <w:rsid w:val="00B31442"/>
    <w:rsid w:val="00B409A8"/>
    <w:rsid w:val="00B45484"/>
    <w:rsid w:val="00B46C97"/>
    <w:rsid w:val="00B51CD2"/>
    <w:rsid w:val="00B53582"/>
    <w:rsid w:val="00B54A19"/>
    <w:rsid w:val="00B60C9C"/>
    <w:rsid w:val="00B721D4"/>
    <w:rsid w:val="00B74121"/>
    <w:rsid w:val="00B84740"/>
    <w:rsid w:val="00B847E7"/>
    <w:rsid w:val="00B85C00"/>
    <w:rsid w:val="00B921CF"/>
    <w:rsid w:val="00B95107"/>
    <w:rsid w:val="00BA2BE1"/>
    <w:rsid w:val="00BA42D1"/>
    <w:rsid w:val="00BA7E66"/>
    <w:rsid w:val="00BB0D9B"/>
    <w:rsid w:val="00BC1DF7"/>
    <w:rsid w:val="00BD14DD"/>
    <w:rsid w:val="00BD27E9"/>
    <w:rsid w:val="00BE7FDC"/>
    <w:rsid w:val="00BF05CE"/>
    <w:rsid w:val="00BF2375"/>
    <w:rsid w:val="00C01145"/>
    <w:rsid w:val="00C02221"/>
    <w:rsid w:val="00C05C34"/>
    <w:rsid w:val="00C05C75"/>
    <w:rsid w:val="00C05F60"/>
    <w:rsid w:val="00C06E49"/>
    <w:rsid w:val="00C077AF"/>
    <w:rsid w:val="00C11751"/>
    <w:rsid w:val="00C1421E"/>
    <w:rsid w:val="00C151CD"/>
    <w:rsid w:val="00C22294"/>
    <w:rsid w:val="00C408A8"/>
    <w:rsid w:val="00C41E9A"/>
    <w:rsid w:val="00C443D4"/>
    <w:rsid w:val="00C4503A"/>
    <w:rsid w:val="00C51FF1"/>
    <w:rsid w:val="00C53F95"/>
    <w:rsid w:val="00C540E1"/>
    <w:rsid w:val="00C60E2C"/>
    <w:rsid w:val="00C62ACB"/>
    <w:rsid w:val="00C63404"/>
    <w:rsid w:val="00C72402"/>
    <w:rsid w:val="00C802D1"/>
    <w:rsid w:val="00C858E6"/>
    <w:rsid w:val="00C90C3F"/>
    <w:rsid w:val="00C91BE3"/>
    <w:rsid w:val="00C91C12"/>
    <w:rsid w:val="00C939FC"/>
    <w:rsid w:val="00C97A7D"/>
    <w:rsid w:val="00CB3A45"/>
    <w:rsid w:val="00CD03BA"/>
    <w:rsid w:val="00CD7707"/>
    <w:rsid w:val="00CE4A94"/>
    <w:rsid w:val="00CF23B0"/>
    <w:rsid w:val="00CF78D8"/>
    <w:rsid w:val="00D0305E"/>
    <w:rsid w:val="00D06B91"/>
    <w:rsid w:val="00D16E12"/>
    <w:rsid w:val="00D250B1"/>
    <w:rsid w:val="00D402BA"/>
    <w:rsid w:val="00D46DAA"/>
    <w:rsid w:val="00D46E81"/>
    <w:rsid w:val="00D51017"/>
    <w:rsid w:val="00D5421D"/>
    <w:rsid w:val="00D5465F"/>
    <w:rsid w:val="00D622AA"/>
    <w:rsid w:val="00D6660A"/>
    <w:rsid w:val="00D6686D"/>
    <w:rsid w:val="00D67843"/>
    <w:rsid w:val="00D7142C"/>
    <w:rsid w:val="00D71B3E"/>
    <w:rsid w:val="00D73313"/>
    <w:rsid w:val="00D75011"/>
    <w:rsid w:val="00D81203"/>
    <w:rsid w:val="00D81345"/>
    <w:rsid w:val="00D86B5E"/>
    <w:rsid w:val="00DA2C20"/>
    <w:rsid w:val="00DB572E"/>
    <w:rsid w:val="00DB71BB"/>
    <w:rsid w:val="00DC4664"/>
    <w:rsid w:val="00DD1345"/>
    <w:rsid w:val="00DD3E9C"/>
    <w:rsid w:val="00DD508D"/>
    <w:rsid w:val="00DD5AF6"/>
    <w:rsid w:val="00DD7F2F"/>
    <w:rsid w:val="00DE34F4"/>
    <w:rsid w:val="00DE7BEA"/>
    <w:rsid w:val="00DF0049"/>
    <w:rsid w:val="00DF113E"/>
    <w:rsid w:val="00E00919"/>
    <w:rsid w:val="00E00D85"/>
    <w:rsid w:val="00E03CB0"/>
    <w:rsid w:val="00E1537E"/>
    <w:rsid w:val="00E160CE"/>
    <w:rsid w:val="00E21D4D"/>
    <w:rsid w:val="00E24EE9"/>
    <w:rsid w:val="00E36A70"/>
    <w:rsid w:val="00E424D3"/>
    <w:rsid w:val="00E425FF"/>
    <w:rsid w:val="00E4345A"/>
    <w:rsid w:val="00E442F2"/>
    <w:rsid w:val="00E510B4"/>
    <w:rsid w:val="00E73767"/>
    <w:rsid w:val="00E7671B"/>
    <w:rsid w:val="00E778EF"/>
    <w:rsid w:val="00E83296"/>
    <w:rsid w:val="00EA6DEE"/>
    <w:rsid w:val="00EB07AF"/>
    <w:rsid w:val="00EB25E9"/>
    <w:rsid w:val="00EB37BE"/>
    <w:rsid w:val="00EC4543"/>
    <w:rsid w:val="00EC4DD2"/>
    <w:rsid w:val="00EC5A2C"/>
    <w:rsid w:val="00EC662D"/>
    <w:rsid w:val="00EE080E"/>
    <w:rsid w:val="00EE213D"/>
    <w:rsid w:val="00EE439C"/>
    <w:rsid w:val="00EF007B"/>
    <w:rsid w:val="00EF0472"/>
    <w:rsid w:val="00EF213F"/>
    <w:rsid w:val="00EF3C04"/>
    <w:rsid w:val="00EF40D7"/>
    <w:rsid w:val="00EF7C3D"/>
    <w:rsid w:val="00F05DC2"/>
    <w:rsid w:val="00F05FB2"/>
    <w:rsid w:val="00F1195C"/>
    <w:rsid w:val="00F22FAC"/>
    <w:rsid w:val="00F2450C"/>
    <w:rsid w:val="00F264E7"/>
    <w:rsid w:val="00F31D81"/>
    <w:rsid w:val="00F31DAD"/>
    <w:rsid w:val="00F43423"/>
    <w:rsid w:val="00F55C33"/>
    <w:rsid w:val="00F715A5"/>
    <w:rsid w:val="00F825C2"/>
    <w:rsid w:val="00F93818"/>
    <w:rsid w:val="00F94724"/>
    <w:rsid w:val="00F95213"/>
    <w:rsid w:val="00FA7A61"/>
    <w:rsid w:val="00FB1090"/>
    <w:rsid w:val="00FB18C8"/>
    <w:rsid w:val="00FB1FA7"/>
    <w:rsid w:val="00FD0D89"/>
    <w:rsid w:val="00FD6619"/>
    <w:rsid w:val="00FD671D"/>
    <w:rsid w:val="00FD7126"/>
    <w:rsid w:val="00FE21E8"/>
    <w:rsid w:val="00FE2D35"/>
    <w:rsid w:val="00FF0D45"/>
    <w:rsid w:val="00FF2C0D"/>
    <w:rsid w:val="00FF2EC7"/>
    <w:rsid w:val="00FF56EC"/>
    <w:rsid w:val="01025625"/>
    <w:rsid w:val="01747DE3"/>
    <w:rsid w:val="023D1963"/>
    <w:rsid w:val="028642E4"/>
    <w:rsid w:val="033A0B59"/>
    <w:rsid w:val="03A7700A"/>
    <w:rsid w:val="0524161A"/>
    <w:rsid w:val="05912BAE"/>
    <w:rsid w:val="07A4182C"/>
    <w:rsid w:val="07AE523B"/>
    <w:rsid w:val="07E70F47"/>
    <w:rsid w:val="09B64F6A"/>
    <w:rsid w:val="0A736D2C"/>
    <w:rsid w:val="0BCA2530"/>
    <w:rsid w:val="0D5F307C"/>
    <w:rsid w:val="0DC13677"/>
    <w:rsid w:val="0DD71079"/>
    <w:rsid w:val="0E4D2F4C"/>
    <w:rsid w:val="107A451A"/>
    <w:rsid w:val="109E0A59"/>
    <w:rsid w:val="11566069"/>
    <w:rsid w:val="11756BA4"/>
    <w:rsid w:val="11C1149F"/>
    <w:rsid w:val="126C5D28"/>
    <w:rsid w:val="13B93935"/>
    <w:rsid w:val="14C92F61"/>
    <w:rsid w:val="14EC1BFA"/>
    <w:rsid w:val="16370872"/>
    <w:rsid w:val="16426EA0"/>
    <w:rsid w:val="169A53D8"/>
    <w:rsid w:val="174A4E82"/>
    <w:rsid w:val="18077DD1"/>
    <w:rsid w:val="19130357"/>
    <w:rsid w:val="1A2504A8"/>
    <w:rsid w:val="1AC61D24"/>
    <w:rsid w:val="1AE217AA"/>
    <w:rsid w:val="1B317B2B"/>
    <w:rsid w:val="1D85640C"/>
    <w:rsid w:val="1E392617"/>
    <w:rsid w:val="1EE13004"/>
    <w:rsid w:val="1F1F6DB4"/>
    <w:rsid w:val="207900D5"/>
    <w:rsid w:val="216A01B9"/>
    <w:rsid w:val="22CD4FD7"/>
    <w:rsid w:val="23F51298"/>
    <w:rsid w:val="24766830"/>
    <w:rsid w:val="24E3469D"/>
    <w:rsid w:val="252769BC"/>
    <w:rsid w:val="25AA3BD2"/>
    <w:rsid w:val="26BE67A5"/>
    <w:rsid w:val="282D7B3E"/>
    <w:rsid w:val="29415A8C"/>
    <w:rsid w:val="2B902E1A"/>
    <w:rsid w:val="2D140E6E"/>
    <w:rsid w:val="2D246BCA"/>
    <w:rsid w:val="2D3C159F"/>
    <w:rsid w:val="2D6645B3"/>
    <w:rsid w:val="2F927116"/>
    <w:rsid w:val="2FA17501"/>
    <w:rsid w:val="318F644E"/>
    <w:rsid w:val="31F3264F"/>
    <w:rsid w:val="320F4CE3"/>
    <w:rsid w:val="3213420B"/>
    <w:rsid w:val="33AB16A5"/>
    <w:rsid w:val="33E0455D"/>
    <w:rsid w:val="33FF0EA7"/>
    <w:rsid w:val="346B745F"/>
    <w:rsid w:val="34DB6F1B"/>
    <w:rsid w:val="35EB54C0"/>
    <w:rsid w:val="365F310C"/>
    <w:rsid w:val="366B150E"/>
    <w:rsid w:val="39920068"/>
    <w:rsid w:val="3AFD1A46"/>
    <w:rsid w:val="3B4C21A9"/>
    <w:rsid w:val="3D1075BC"/>
    <w:rsid w:val="3D764382"/>
    <w:rsid w:val="3DDB1ECB"/>
    <w:rsid w:val="3E91722E"/>
    <w:rsid w:val="401024E9"/>
    <w:rsid w:val="41917CBB"/>
    <w:rsid w:val="41E975B0"/>
    <w:rsid w:val="42A66FC3"/>
    <w:rsid w:val="4390783D"/>
    <w:rsid w:val="43B65ABA"/>
    <w:rsid w:val="457428B1"/>
    <w:rsid w:val="45BC4A1E"/>
    <w:rsid w:val="46AB7E67"/>
    <w:rsid w:val="474B7578"/>
    <w:rsid w:val="491B6E7E"/>
    <w:rsid w:val="49C37216"/>
    <w:rsid w:val="4A250959"/>
    <w:rsid w:val="4AB67865"/>
    <w:rsid w:val="4BEA0DAB"/>
    <w:rsid w:val="4C235CCD"/>
    <w:rsid w:val="4D5C69D1"/>
    <w:rsid w:val="4DAD73C6"/>
    <w:rsid w:val="4DEE43A0"/>
    <w:rsid w:val="4E7868B8"/>
    <w:rsid w:val="4FA44F21"/>
    <w:rsid w:val="50050A07"/>
    <w:rsid w:val="50E01AFE"/>
    <w:rsid w:val="51490DDD"/>
    <w:rsid w:val="51615FFD"/>
    <w:rsid w:val="516D0838"/>
    <w:rsid w:val="5260553F"/>
    <w:rsid w:val="53B431BA"/>
    <w:rsid w:val="541248CC"/>
    <w:rsid w:val="54365D54"/>
    <w:rsid w:val="570F36D0"/>
    <w:rsid w:val="57187DF0"/>
    <w:rsid w:val="59820599"/>
    <w:rsid w:val="5A6969E0"/>
    <w:rsid w:val="5AC678AB"/>
    <w:rsid w:val="5B0C0F99"/>
    <w:rsid w:val="5C5A76CA"/>
    <w:rsid w:val="5D625F8E"/>
    <w:rsid w:val="5DE3578C"/>
    <w:rsid w:val="5E701F85"/>
    <w:rsid w:val="5EB72FDF"/>
    <w:rsid w:val="5F5B49FB"/>
    <w:rsid w:val="648F0C2D"/>
    <w:rsid w:val="67A57C68"/>
    <w:rsid w:val="681D332E"/>
    <w:rsid w:val="689C28BF"/>
    <w:rsid w:val="6A0B279F"/>
    <w:rsid w:val="6A9D0111"/>
    <w:rsid w:val="6AB8238B"/>
    <w:rsid w:val="6B705779"/>
    <w:rsid w:val="6D007282"/>
    <w:rsid w:val="6D69790D"/>
    <w:rsid w:val="6DB502D6"/>
    <w:rsid w:val="6DC37BF3"/>
    <w:rsid w:val="6F306695"/>
    <w:rsid w:val="6F894118"/>
    <w:rsid w:val="701E4510"/>
    <w:rsid w:val="71CC6627"/>
    <w:rsid w:val="72137D3B"/>
    <w:rsid w:val="73CF7562"/>
    <w:rsid w:val="751E0B32"/>
    <w:rsid w:val="76F83FE8"/>
    <w:rsid w:val="772C4CA3"/>
    <w:rsid w:val="778158CC"/>
    <w:rsid w:val="79423320"/>
    <w:rsid w:val="79F013E2"/>
    <w:rsid w:val="7BCD2992"/>
    <w:rsid w:val="7E3776B8"/>
    <w:rsid w:val="7EE94BDC"/>
    <w:rsid w:val="7F1B1EA4"/>
    <w:rsid w:val="7F1F71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ind w:firstLine="643" w:firstLineChars="200"/>
      <w:outlineLvl w:val="1"/>
    </w:pPr>
    <w:rPr>
      <w:rFonts w:ascii="黑体" w:hAnsi="黑体" w:eastAsia="黑体"/>
      <w:b/>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after="0"/>
      <w:ind w:firstLine="420" w:firstLineChars="200"/>
      <w:jc w:val="both"/>
    </w:pPr>
    <w:rPr>
      <w:rFonts w:ascii="Times New Roman" w:hAnsi="Times New Roman" w:eastAsia="宋体" w:cs="Times New Roman"/>
      <w:kern w:val="2"/>
      <w:sz w:val="32"/>
      <w:szCs w:val="24"/>
      <w:lang w:val="en-US" w:eastAsia="zh-CN" w:bidi="ar-SA"/>
    </w:rPr>
  </w:style>
  <w:style w:type="paragraph" w:styleId="5">
    <w:name w:val="index 8"/>
    <w:basedOn w:val="1"/>
    <w:next w:val="1"/>
    <w:unhideWhenUsed/>
    <w:qFormat/>
    <w:uiPriority w:val="99"/>
    <w:pPr>
      <w:ind w:left="2940"/>
      <w:jc w:val="center"/>
    </w:pPr>
  </w:style>
  <w:style w:type="paragraph" w:styleId="6">
    <w:name w:val="annotation text"/>
    <w:basedOn w:val="1"/>
    <w:unhideWhenUsed/>
    <w:qFormat/>
    <w:uiPriority w:val="99"/>
    <w:pPr>
      <w:jc w:val="left"/>
    </w:pPr>
  </w:style>
  <w:style w:type="paragraph" w:styleId="7">
    <w:name w:val="Body Text"/>
    <w:basedOn w:val="1"/>
    <w:qFormat/>
    <w:uiPriority w:val="0"/>
    <w:pPr>
      <w:topLinePunct w:val="0"/>
      <w:adjustRightInd/>
      <w:spacing w:line="420" w:lineRule="exact"/>
      <w:ind w:firstLine="0"/>
      <w:jc w:val="center"/>
      <w:textAlignment w:val="center"/>
    </w:pPr>
    <w:rPr>
      <w:rFonts w:eastAsia="宋体"/>
      <w:kern w:val="2"/>
      <w:sz w:val="21"/>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600" w:lineRule="exact"/>
      <w:ind w:firstLine="646"/>
    </w:pPr>
    <w:rPr>
      <w:rFonts w:ascii="仿宋_GB2312" w:eastAsia="仿宋_GB2312"/>
      <w:sz w:val="32"/>
      <w:szCs w:val="20"/>
    </w:rPr>
  </w:style>
  <w:style w:type="paragraph" w:styleId="12">
    <w:name w:val="Balloon Text"/>
    <w:basedOn w:val="1"/>
    <w:link w:val="2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next w:val="14"/>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unhideWhenUsed/>
    <w:qFormat/>
    <w:uiPriority w:val="99"/>
    <w:rPr>
      <w:b/>
      <w:bCs/>
    </w:rPr>
  </w:style>
  <w:style w:type="paragraph" w:styleId="17">
    <w:name w:val="Body Text First Indent 2"/>
    <w:basedOn w:val="8"/>
    <w:next w:val="1"/>
    <w:unhideWhenUsed/>
    <w:qFormat/>
    <w:uiPriority w:val="99"/>
    <w:pPr>
      <w:ind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0"/>
    <w:rPr>
      <w:color w:val="0000FF"/>
      <w:u w:val="single"/>
    </w:rPr>
  </w:style>
  <w:style w:type="character" w:customStyle="1" w:styleId="22">
    <w:name w:val="批注框文本 Char"/>
    <w:link w:val="12"/>
    <w:qFormat/>
    <w:uiPriority w:val="0"/>
    <w:rPr>
      <w:kern w:val="2"/>
      <w:sz w:val="18"/>
      <w:szCs w:val="18"/>
    </w:rPr>
  </w:style>
  <w:style w:type="character" w:customStyle="1" w:styleId="23">
    <w:name w:val="正文格式 Char"/>
    <w:link w:val="24"/>
    <w:qFormat/>
    <w:uiPriority w:val="0"/>
    <w:rPr>
      <w:rFonts w:ascii="仿宋_GB2312" w:eastAsia="仿宋_GB2312"/>
      <w:kern w:val="2"/>
      <w:sz w:val="28"/>
      <w:szCs w:val="28"/>
      <w:lang w:val="en-US" w:eastAsia="zh-CN" w:bidi="ar-SA"/>
    </w:rPr>
  </w:style>
  <w:style w:type="paragraph" w:customStyle="1" w:styleId="24">
    <w:name w:val="正文格式"/>
    <w:basedOn w:val="25"/>
    <w:next w:val="16"/>
    <w:link w:val="23"/>
    <w:qFormat/>
    <w:uiPriority w:val="0"/>
    <w:pPr>
      <w:adjustRightInd w:val="0"/>
      <w:spacing w:line="560" w:lineRule="exact"/>
      <w:ind w:left="0" w:leftChars="0" w:firstLine="560" w:firstLineChars="200"/>
    </w:pPr>
    <w:rPr>
      <w:rFonts w:ascii="仿宋_GB2312" w:eastAsia="仿宋_GB2312"/>
      <w:sz w:val="28"/>
      <w:szCs w:val="28"/>
    </w:rPr>
  </w:style>
  <w:style w:type="paragraph" w:customStyle="1" w:styleId="25">
    <w:name w:val="正文的样式"/>
    <w:basedOn w:val="1"/>
    <w:qFormat/>
    <w:uiPriority w:val="0"/>
    <w:pPr>
      <w:spacing w:after="100"/>
    </w:pPr>
    <w:rPr>
      <w:sz w:val="20"/>
      <w:szCs w:val="20"/>
    </w:rPr>
  </w:style>
  <w:style w:type="character" w:customStyle="1" w:styleId="26">
    <w:name w:val="newsbody3"/>
    <w:qFormat/>
    <w:uiPriority w:val="0"/>
    <w:rPr>
      <w:sz w:val="21"/>
      <w:szCs w:val="21"/>
    </w:rPr>
  </w:style>
  <w:style w:type="character" w:customStyle="1" w:styleId="27">
    <w:name w:val="NormalCharacter"/>
    <w:qFormat/>
    <w:uiPriority w:val="0"/>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附注一级"/>
    <w:basedOn w:val="1"/>
    <w:qFormat/>
    <w:uiPriority w:val="0"/>
    <w:pPr>
      <w:tabs>
        <w:tab w:val="left" w:pos="714"/>
      </w:tabs>
      <w:adjustRightInd w:val="0"/>
      <w:snapToGrid w:val="0"/>
      <w:spacing w:line="400" w:lineRule="atLeast"/>
      <w:outlineLvl w:val="0"/>
    </w:pPr>
    <w:rPr>
      <w:rFonts w:ascii="宋体" w:hAnsi="宋体"/>
      <w:b/>
      <w:szCs w:val="21"/>
    </w:rPr>
  </w:style>
  <w:style w:type="paragraph" w:customStyle="1" w:styleId="30">
    <w:name w:val="附注二级"/>
    <w:basedOn w:val="1"/>
    <w:qFormat/>
    <w:uiPriority w:val="0"/>
    <w:pPr>
      <w:tabs>
        <w:tab w:val="left" w:pos="714"/>
      </w:tabs>
      <w:adjustRightInd w:val="0"/>
      <w:snapToGrid w:val="0"/>
      <w:spacing w:line="400" w:lineRule="atLeast"/>
      <w:outlineLvl w:val="0"/>
    </w:pPr>
    <w:rPr>
      <w:rFonts w:ascii="宋体" w:hAnsi="宋体"/>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684</Words>
  <Characters>3904</Characters>
  <Lines>32</Lines>
  <Paragraphs>9</Paragraphs>
  <TotalTime>3</TotalTime>
  <ScaleCrop>false</ScaleCrop>
  <LinksUpToDate>false</LinksUpToDate>
  <CharactersWithSpaces>4579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2012-02-16T08:30:00Z</dcterms:created>
  <dc:creator>cydlzqwang</dc:creator>
  <cp:lastModifiedBy>刘硕02</cp:lastModifiedBy>
  <cp:lastPrinted>2013-03-18T02:37:00Z</cp:lastPrinted>
  <dcterms:modified xsi:type="dcterms:W3CDTF">2026-02-06T03:20:50Z</dcterms:modified>
  <dc:title>证券代码：000966     证券简称：长源电力     公告编号：2009-050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64AFF6A75BF54650A52B4104EC197B43</vt:lpwstr>
  </property>
</Properties>
</file>