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spacing w:line="440" w:lineRule="exact"/>
        <w:contextualSpacing/>
        <w:jc w:val="center"/>
        <w:textAlignment w:val="auto"/>
        <w:rPr>
          <w:rFonts w:hint="default" w:ascii="Times New Roman" w:hAnsi="Times New Roman" w:eastAsia="宋体" w:cs="Times New Roman"/>
          <w:color w:val="auto"/>
          <w:sz w:val="24"/>
          <w:szCs w:val="24"/>
          <w:highlight w:val="none"/>
          <w:lang w:val="en-US" w:eastAsia="zh-CN"/>
        </w:rPr>
      </w:pPr>
      <w:bookmarkStart w:id="1" w:name="_GoBack"/>
      <w:bookmarkEnd w:id="1"/>
      <w:r>
        <w:rPr>
          <w:rFonts w:hint="default" w:ascii="Times New Roman" w:hAnsi="Times New Roman" w:cs="Times New Roman"/>
          <w:color w:val="auto"/>
          <w:sz w:val="24"/>
          <w:szCs w:val="24"/>
          <w:highlight w:val="none"/>
        </w:rPr>
        <w:t xml:space="preserve">证券代码：000966         </w:t>
      </w:r>
      <w:r>
        <w:rPr>
          <w:rFonts w:hint="default" w:ascii="Times New Roman" w:hAnsi="Times New Roman" w:cs="Times New Roman"/>
          <w:color w:val="auto"/>
          <w:sz w:val="24"/>
          <w:szCs w:val="24"/>
          <w:highlight w:val="none"/>
          <w:lang w:val="en-US" w:eastAsia="zh-CN"/>
        </w:rPr>
        <w:t xml:space="preserve"> </w:t>
      </w:r>
      <w:r>
        <w:rPr>
          <w:rFonts w:hint="default" w:ascii="Times New Roman" w:hAnsi="Times New Roman" w:cs="Times New Roman"/>
          <w:color w:val="auto"/>
          <w:sz w:val="24"/>
          <w:szCs w:val="24"/>
          <w:highlight w:val="none"/>
        </w:rPr>
        <w:t xml:space="preserve">证券简称：长源电力       </w:t>
      </w:r>
      <w:r>
        <w:rPr>
          <w:rFonts w:hint="default" w:ascii="Times New Roman" w:hAnsi="Times New Roman" w:cs="Times New Roman"/>
          <w:color w:val="auto"/>
          <w:sz w:val="24"/>
          <w:szCs w:val="24"/>
          <w:highlight w:val="none"/>
          <w:lang w:val="en-US" w:eastAsia="zh-CN"/>
        </w:rPr>
        <w:t xml:space="preserve"> </w:t>
      </w:r>
      <w:r>
        <w:rPr>
          <w:rFonts w:hint="default" w:ascii="Times New Roman" w:hAnsi="Times New Roman" w:cs="Times New Roman"/>
          <w:color w:val="auto"/>
          <w:sz w:val="24"/>
          <w:szCs w:val="24"/>
          <w:highlight w:val="none"/>
        </w:rPr>
        <w:t>公告编号：</w:t>
      </w:r>
      <w:r>
        <w:rPr>
          <w:rFonts w:hint="default" w:ascii="Times New Roman" w:hAnsi="Times New Roman" w:cs="Times New Roman"/>
          <w:color w:val="auto"/>
          <w:sz w:val="24"/>
          <w:szCs w:val="24"/>
          <w:highlight w:val="none"/>
          <w:lang w:val="en-US" w:eastAsia="zh-CN"/>
        </w:rPr>
        <w:t xml:space="preserve">2026-007     </w:t>
      </w:r>
    </w:p>
    <w:p>
      <w:pPr>
        <w:keepNext w:val="0"/>
        <w:keepLines w:val="0"/>
        <w:pageBreakBefore w:val="0"/>
        <w:widowControl w:val="0"/>
        <w:kinsoku/>
        <w:wordWrap/>
        <w:overflowPunct/>
        <w:topLinePunct w:val="0"/>
        <w:autoSpaceDE w:val="0"/>
        <w:autoSpaceDN w:val="0"/>
        <w:bidi w:val="0"/>
        <w:spacing w:line="440" w:lineRule="exact"/>
        <w:contextualSpacing/>
        <w:jc w:val="center"/>
        <w:textAlignment w:val="auto"/>
        <w:rPr>
          <w:rFonts w:hint="default" w:ascii="Times New Roman" w:hAnsi="Times New Roman" w:eastAsia="方正小标宋简体" w:cs="Times New Roman"/>
          <w:b w:val="0"/>
          <w:bCs w:val="0"/>
          <w:color w:val="auto"/>
          <w:sz w:val="32"/>
          <w:szCs w:val="32"/>
          <w:highlight w:val="none"/>
        </w:rPr>
      </w:pP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jc w:val="center"/>
        <w:textAlignment w:val="baseline"/>
        <w:outlineLvl w:val="0"/>
        <w:rPr>
          <w:rStyle w:val="5"/>
          <w:rFonts w:hint="default" w:ascii="Times New Roman" w:hAnsi="Times New Roman" w:eastAsia="方正小标宋简体" w:cs="Times New Roman"/>
          <w:b w:val="0"/>
          <w:bCs w:val="0"/>
          <w:i w:val="0"/>
          <w:caps w:val="0"/>
          <w:color w:val="auto"/>
          <w:spacing w:val="0"/>
          <w:w w:val="100"/>
          <w:kern w:val="2"/>
          <w:sz w:val="32"/>
          <w:szCs w:val="32"/>
          <w:highlight w:val="none"/>
          <w:lang w:val="en-US" w:eastAsia="zh-CN" w:bidi="ar-SA"/>
        </w:rPr>
      </w:pPr>
      <w:r>
        <w:rPr>
          <w:rStyle w:val="5"/>
          <w:rFonts w:hint="default" w:ascii="Times New Roman" w:hAnsi="Times New Roman" w:eastAsia="方正小标宋简体" w:cs="Times New Roman"/>
          <w:b w:val="0"/>
          <w:bCs w:val="0"/>
          <w:i w:val="0"/>
          <w:caps w:val="0"/>
          <w:color w:val="auto"/>
          <w:spacing w:val="0"/>
          <w:w w:val="100"/>
          <w:kern w:val="2"/>
          <w:sz w:val="32"/>
          <w:szCs w:val="32"/>
          <w:highlight w:val="none"/>
          <w:lang w:val="en-US" w:eastAsia="zh-CN" w:bidi="ar-SA"/>
        </w:rPr>
        <w:t>国家能源集团长源电力股份有限公司</w:t>
      </w:r>
    </w:p>
    <w:p>
      <w:pPr>
        <w:keepNext w:val="0"/>
        <w:keepLines w:val="0"/>
        <w:widowControl w:val="0"/>
        <w:suppressLineNumbers w:val="0"/>
        <w:adjustRightInd w:val="0"/>
        <w:snapToGrid w:val="0"/>
        <w:spacing w:line="440" w:lineRule="exact"/>
        <w:jc w:val="center"/>
        <w:rPr>
          <w:rFonts w:hint="default" w:ascii="Times New Roman" w:hAnsi="Times New Roman" w:eastAsia="方正小标宋简体" w:cs="Times New Roman"/>
          <w:b w:val="0"/>
          <w:bCs w:val="0"/>
          <w:i w:val="0"/>
          <w:caps w:val="0"/>
          <w:color w:val="auto"/>
          <w:spacing w:val="0"/>
          <w:w w:val="100"/>
          <w:kern w:val="2"/>
          <w:sz w:val="32"/>
          <w:szCs w:val="32"/>
          <w:highlight w:val="none"/>
          <w:lang w:val="en-US" w:eastAsia="zh-CN" w:bidi="ar-SA"/>
        </w:rPr>
      </w:pPr>
      <w:bookmarkStart w:id="0" w:name="OLE_LINK1"/>
      <w:r>
        <w:rPr>
          <w:rStyle w:val="5"/>
          <w:rFonts w:hint="default" w:ascii="Times New Roman" w:hAnsi="Times New Roman" w:eastAsia="方正小标宋简体" w:cs="Times New Roman"/>
          <w:b w:val="0"/>
          <w:bCs w:val="0"/>
          <w:i w:val="0"/>
          <w:caps w:val="0"/>
          <w:color w:val="auto"/>
          <w:spacing w:val="0"/>
          <w:w w:val="100"/>
          <w:kern w:val="2"/>
          <w:sz w:val="32"/>
          <w:szCs w:val="32"/>
          <w:highlight w:val="none"/>
          <w:lang w:val="en-US" w:eastAsia="zh-CN" w:bidi="ar-SA"/>
        </w:rPr>
        <w:t>关于全资子公司长源电力青山热电脱硫废水深度治理EPC项目关联交易的进展公告</w:t>
      </w:r>
      <w:bookmarkEnd w:id="0"/>
    </w:p>
    <w:p>
      <w:pPr>
        <w:keepNext w:val="0"/>
        <w:keepLines w:val="0"/>
        <w:pageBreakBefore w:val="0"/>
        <w:widowControl w:val="0"/>
        <w:kinsoku/>
        <w:wordWrap/>
        <w:overflowPunct/>
        <w:topLinePunct w:val="0"/>
        <w:bidi w:val="0"/>
        <w:adjustRightInd w:val="0"/>
        <w:snapToGrid w:val="0"/>
        <w:spacing w:line="440" w:lineRule="exact"/>
        <w:jc w:val="center"/>
        <w:textAlignment w:val="auto"/>
        <w:rPr>
          <w:rFonts w:hint="default" w:ascii="Times New Roman" w:hAnsi="Times New Roman" w:eastAsia="方正小标宋简体" w:cs="Times New Roman"/>
          <w:b w:val="0"/>
          <w:bCs w:val="0"/>
          <w:color w:val="auto"/>
          <w:sz w:val="32"/>
          <w:szCs w:val="32"/>
          <w:highlight w:val="none"/>
        </w:rPr>
      </w:pP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8522" w:type="dxa"/>
            <w:noWrap w:val="0"/>
            <w:vAlign w:val="top"/>
          </w:tcPr>
          <w:p>
            <w:pPr>
              <w:keepNext w:val="0"/>
              <w:keepLines w:val="0"/>
              <w:pageBreakBefore w:val="0"/>
              <w:widowControl w:val="0"/>
              <w:kinsoku/>
              <w:wordWrap/>
              <w:overflowPunct/>
              <w:topLinePunct w:val="0"/>
              <w:autoSpaceDE w:val="0"/>
              <w:autoSpaceDN w:val="0"/>
              <w:bidi w:val="0"/>
              <w:adjustRightInd w:val="0"/>
              <w:snapToGrid w:val="0"/>
              <w:spacing w:line="380" w:lineRule="exact"/>
              <w:ind w:firstLine="480" w:firstLineChars="200"/>
              <w:jc w:val="left"/>
              <w:textAlignment w:val="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本公司及董事会全体成员保证信息披露的内容真实、准确、完整，没有虚假记载、误导性陈述或重大遗漏。</w:t>
            </w:r>
          </w:p>
        </w:tc>
      </w:tr>
    </w:tbl>
    <w:p>
      <w:pPr>
        <w:keepNext w:val="0"/>
        <w:keepLines w:val="0"/>
        <w:pageBreakBefore w:val="0"/>
        <w:widowControl w:val="0"/>
        <w:kinsoku/>
        <w:wordWrap/>
        <w:overflowPunct/>
        <w:topLinePunct w:val="0"/>
        <w:bidi w:val="0"/>
        <w:spacing w:line="380" w:lineRule="exact"/>
        <w:contextualSpacing/>
        <w:textAlignment w:val="auto"/>
        <w:rPr>
          <w:rFonts w:hint="default" w:ascii="Times New Roman" w:hAnsi="Times New Roman" w:eastAsia="宋体" w:cs="Times New Roman"/>
          <w:b/>
          <w:color w:val="auto"/>
          <w:sz w:val="24"/>
          <w:highlight w:val="none"/>
        </w:rPr>
      </w:pPr>
    </w:p>
    <w:p>
      <w:pPr>
        <w:keepNext w:val="0"/>
        <w:keepLines w:val="0"/>
        <w:pageBreakBefore w:val="0"/>
        <w:widowControl w:val="0"/>
        <w:kinsoku/>
        <w:wordWrap/>
        <w:overflowPunct/>
        <w:topLinePunct w:val="0"/>
        <w:autoSpaceDE/>
        <w:autoSpaceDN/>
        <w:bidi w:val="0"/>
        <w:adjustRightInd/>
        <w:snapToGrid/>
        <w:spacing w:line="380" w:lineRule="exact"/>
        <w:ind w:firstLine="482" w:firstLineChars="200"/>
        <w:contextualSpacing/>
        <w:textAlignment w:val="auto"/>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一、关联交易情况概述</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contextualSpacing/>
        <w:textAlignment w:val="auto"/>
        <w:rPr>
          <w:rFonts w:hint="default" w:ascii="Times New Roman" w:hAnsi="Times New Roman" w:eastAsia="宋体" w:cs="Times New Roman"/>
          <w:color w:val="auto"/>
          <w:sz w:val="24"/>
          <w:highlight w:val="none"/>
          <w:u w:val="none"/>
          <w:lang w:eastAsia="zh-CN"/>
        </w:rPr>
      </w:pPr>
      <w:r>
        <w:rPr>
          <w:rFonts w:hint="default" w:ascii="Times New Roman" w:hAnsi="Times New Roman" w:eastAsia="宋体" w:cs="Times New Roman"/>
          <w:color w:val="auto"/>
          <w:sz w:val="24"/>
          <w:highlight w:val="none"/>
          <w:u w:val="none"/>
          <w:lang w:val="en-US" w:eastAsia="zh-CN"/>
        </w:rPr>
        <w:t>公司</w:t>
      </w:r>
      <w:r>
        <w:rPr>
          <w:rFonts w:hint="default" w:ascii="Times New Roman" w:hAnsi="Times New Roman" w:cs="Times New Roman"/>
          <w:color w:val="auto"/>
          <w:sz w:val="24"/>
          <w:highlight w:val="none"/>
          <w:u w:val="none"/>
          <w:lang w:val="en-US" w:eastAsia="zh-CN"/>
        </w:rPr>
        <w:t>全资</w:t>
      </w:r>
      <w:r>
        <w:rPr>
          <w:rFonts w:hint="default" w:ascii="Times New Roman" w:hAnsi="Times New Roman" w:eastAsia="宋体" w:cs="Times New Roman"/>
          <w:color w:val="auto"/>
          <w:sz w:val="24"/>
          <w:highlight w:val="none"/>
          <w:u w:val="none"/>
          <w:lang w:val="en-US" w:eastAsia="zh-CN"/>
        </w:rPr>
        <w:t>子公司国能长源</w:t>
      </w:r>
      <w:r>
        <w:rPr>
          <w:rFonts w:hint="default" w:ascii="Times New Roman" w:hAnsi="Times New Roman" w:cs="Times New Roman"/>
          <w:color w:val="auto"/>
          <w:sz w:val="24"/>
          <w:highlight w:val="none"/>
          <w:u w:val="none"/>
          <w:lang w:val="en-US" w:eastAsia="zh-CN"/>
        </w:rPr>
        <w:t>武汉青山热电</w:t>
      </w:r>
      <w:r>
        <w:rPr>
          <w:rFonts w:hint="default" w:ascii="Times New Roman" w:hAnsi="Times New Roman" w:eastAsia="宋体" w:cs="Times New Roman"/>
          <w:color w:val="auto"/>
          <w:sz w:val="24"/>
          <w:highlight w:val="none"/>
          <w:u w:val="none"/>
          <w:lang w:val="en-US" w:eastAsia="zh-CN"/>
        </w:rPr>
        <w:t>有限公司（</w:t>
      </w:r>
      <w:r>
        <w:rPr>
          <w:rFonts w:hint="default" w:ascii="Times New Roman" w:hAnsi="Times New Roman" w:eastAsia="宋体" w:cs="Times New Roman"/>
          <w:color w:val="auto"/>
          <w:sz w:val="24"/>
          <w:highlight w:val="none"/>
          <w:u w:val="none"/>
          <w:lang w:eastAsia="zh-CN"/>
        </w:rPr>
        <w:t>以下简称</w:t>
      </w:r>
      <w:r>
        <w:rPr>
          <w:rFonts w:hint="default" w:ascii="Times New Roman" w:hAnsi="Times New Roman" w:cs="Times New Roman"/>
          <w:color w:val="auto"/>
          <w:sz w:val="24"/>
          <w:highlight w:val="none"/>
          <w:u w:val="none"/>
          <w:lang w:val="en-US" w:eastAsia="zh-CN"/>
        </w:rPr>
        <w:t>青山</w:t>
      </w:r>
      <w:r>
        <w:rPr>
          <w:rFonts w:hint="default" w:ascii="Times New Roman" w:hAnsi="Times New Roman" w:eastAsia="宋体" w:cs="Times New Roman"/>
          <w:color w:val="auto"/>
          <w:sz w:val="24"/>
          <w:highlight w:val="none"/>
          <w:u w:val="none"/>
          <w:lang w:val="en-US" w:eastAsia="zh-CN"/>
        </w:rPr>
        <w:t>公司）</w:t>
      </w:r>
      <w:r>
        <w:rPr>
          <w:rFonts w:hint="default" w:ascii="Times New Roman" w:hAnsi="Times New Roman" w:eastAsia="宋体" w:cs="Times New Roman"/>
          <w:color w:val="auto"/>
          <w:sz w:val="24"/>
          <w:highlight w:val="none"/>
          <w:u w:val="none"/>
          <w:lang w:eastAsia="zh-CN"/>
        </w:rPr>
        <w:t>经公开招标，</w:t>
      </w:r>
      <w:r>
        <w:rPr>
          <w:rFonts w:hint="default" w:ascii="Times New Roman" w:hAnsi="Times New Roman" w:eastAsia="宋体" w:cs="Times New Roman"/>
          <w:color w:val="auto"/>
          <w:sz w:val="24"/>
          <w:highlight w:val="none"/>
          <w:u w:val="none"/>
          <w:lang w:val="en-US" w:eastAsia="zh-CN"/>
        </w:rPr>
        <w:t>确定国能水务环保有限公司（以下简称</w:t>
      </w:r>
      <w:r>
        <w:rPr>
          <w:rFonts w:hint="default" w:ascii="Times New Roman" w:hAnsi="Times New Roman" w:cs="Times New Roman"/>
          <w:color w:val="auto"/>
          <w:sz w:val="24"/>
          <w:highlight w:val="none"/>
          <w:u w:val="none"/>
          <w:lang w:val="en-US" w:eastAsia="zh-CN"/>
        </w:rPr>
        <w:t>国能水务</w:t>
      </w:r>
      <w:r>
        <w:rPr>
          <w:rFonts w:hint="default" w:ascii="Times New Roman" w:hAnsi="Times New Roman" w:eastAsia="宋体" w:cs="Times New Roman"/>
          <w:color w:val="auto"/>
          <w:sz w:val="24"/>
          <w:highlight w:val="none"/>
          <w:u w:val="none"/>
          <w:lang w:val="en-US" w:eastAsia="zh-CN"/>
        </w:rPr>
        <w:t>）</w:t>
      </w:r>
      <w:r>
        <w:rPr>
          <w:rFonts w:hint="default" w:ascii="Times New Roman" w:hAnsi="Times New Roman" w:cs="Times New Roman"/>
          <w:color w:val="auto"/>
          <w:sz w:val="24"/>
          <w:highlight w:val="none"/>
          <w:u w:val="none"/>
          <w:lang w:val="en-US" w:eastAsia="zh-CN"/>
        </w:rPr>
        <w:t>为</w:t>
      </w:r>
      <w:r>
        <w:rPr>
          <w:rFonts w:hint="default" w:ascii="Times New Roman" w:hAnsi="Times New Roman" w:eastAsia="宋体" w:cs="Times New Roman"/>
          <w:color w:val="auto"/>
          <w:sz w:val="24"/>
          <w:highlight w:val="none"/>
          <w:u w:val="none"/>
          <w:lang w:val="en-US" w:eastAsia="zh-CN"/>
        </w:rPr>
        <w:t>长源电力青山热电脱硫废水深度治理EPC工程</w:t>
      </w:r>
      <w:r>
        <w:rPr>
          <w:rFonts w:hint="default" w:ascii="Times New Roman" w:hAnsi="Times New Roman" w:cs="Times New Roman"/>
          <w:color w:val="auto"/>
          <w:sz w:val="24"/>
          <w:highlight w:val="none"/>
          <w:u w:val="none"/>
          <w:lang w:val="en-US" w:eastAsia="zh-CN"/>
        </w:rPr>
        <w:t>项目</w:t>
      </w:r>
      <w:r>
        <w:rPr>
          <w:rFonts w:hint="default" w:ascii="Times New Roman" w:hAnsi="Times New Roman" w:eastAsia="宋体" w:cs="Times New Roman"/>
          <w:color w:val="auto"/>
          <w:sz w:val="24"/>
          <w:highlight w:val="none"/>
          <w:u w:val="none"/>
          <w:lang w:val="en-US" w:eastAsia="zh-CN"/>
        </w:rPr>
        <w:t>中标方，项目中标金额为</w:t>
      </w:r>
      <w:r>
        <w:rPr>
          <w:rFonts w:ascii="Times New Roman" w:hAnsi="Times New Roman" w:eastAsia="宋体" w:cs="Times New Roman"/>
          <w:sz w:val="24"/>
          <w:szCs w:val="24"/>
          <w:highlight w:val="none"/>
        </w:rPr>
        <w:t>3</w:t>
      </w:r>
      <w:r>
        <w:rPr>
          <w:rFonts w:hint="default" w:ascii="Times New Roman" w:hAnsi="Times New Roman" w:cs="Times New Roman"/>
          <w:sz w:val="24"/>
          <w:szCs w:val="24"/>
          <w:highlight w:val="none"/>
          <w:lang w:val="en-US" w:eastAsia="zh-CN"/>
        </w:rPr>
        <w:t>,</w:t>
      </w:r>
      <w:r>
        <w:rPr>
          <w:rFonts w:ascii="Times New Roman" w:hAnsi="Times New Roman" w:eastAsia="宋体" w:cs="Times New Roman"/>
          <w:sz w:val="24"/>
          <w:szCs w:val="24"/>
          <w:highlight w:val="none"/>
        </w:rPr>
        <w:t>670.00368</w:t>
      </w:r>
      <w:r>
        <w:rPr>
          <w:rFonts w:hint="default" w:ascii="Times New Roman" w:hAnsi="Times New Roman" w:eastAsia="宋体" w:cs="Times New Roman"/>
          <w:color w:val="auto"/>
          <w:sz w:val="24"/>
          <w:highlight w:val="none"/>
          <w:u w:val="none"/>
          <w:lang w:val="en-US" w:eastAsia="zh-CN"/>
        </w:rPr>
        <w:t>万元（</w:t>
      </w:r>
      <w:r>
        <w:rPr>
          <w:rFonts w:hint="default" w:ascii="Times New Roman" w:hAnsi="Times New Roman" w:eastAsia="宋体" w:cs="Times New Roman"/>
          <w:color w:val="auto"/>
          <w:sz w:val="24"/>
          <w:highlight w:val="none"/>
          <w:u w:val="none"/>
          <w:lang w:eastAsia="zh-CN"/>
        </w:rPr>
        <w:t>具体内容详见公司于</w:t>
      </w:r>
      <w:r>
        <w:rPr>
          <w:rFonts w:hint="default" w:ascii="Times New Roman" w:hAnsi="Times New Roman" w:eastAsia="宋体" w:cs="Times New Roman"/>
          <w:color w:val="auto"/>
          <w:sz w:val="24"/>
          <w:highlight w:val="none"/>
          <w:u w:val="none"/>
          <w:lang w:val="en-US" w:eastAsia="zh-CN"/>
        </w:rPr>
        <w:t>202</w:t>
      </w:r>
      <w:r>
        <w:rPr>
          <w:rFonts w:hint="default" w:ascii="Times New Roman" w:hAnsi="Times New Roman" w:cs="Times New Roman"/>
          <w:color w:val="auto"/>
          <w:sz w:val="24"/>
          <w:highlight w:val="none"/>
          <w:u w:val="none"/>
          <w:lang w:val="en-US" w:eastAsia="zh-CN"/>
        </w:rPr>
        <w:t>6</w:t>
      </w:r>
      <w:r>
        <w:rPr>
          <w:rFonts w:hint="default" w:ascii="Times New Roman" w:hAnsi="Times New Roman" w:eastAsia="宋体" w:cs="Times New Roman"/>
          <w:color w:val="auto"/>
          <w:sz w:val="24"/>
          <w:highlight w:val="none"/>
          <w:u w:val="none"/>
          <w:lang w:eastAsia="zh-CN"/>
        </w:rPr>
        <w:t>年</w:t>
      </w:r>
      <w:r>
        <w:rPr>
          <w:rFonts w:hint="default" w:ascii="Times New Roman" w:hAnsi="Times New Roman" w:eastAsia="宋体" w:cs="Times New Roman"/>
          <w:color w:val="auto"/>
          <w:sz w:val="24"/>
          <w:highlight w:val="none"/>
          <w:u w:val="none"/>
          <w:lang w:val="en-US" w:eastAsia="zh-CN"/>
        </w:rPr>
        <w:t>1</w:t>
      </w:r>
      <w:r>
        <w:rPr>
          <w:rFonts w:hint="default" w:ascii="Times New Roman" w:hAnsi="Times New Roman" w:eastAsia="宋体" w:cs="Times New Roman"/>
          <w:color w:val="auto"/>
          <w:sz w:val="24"/>
          <w:highlight w:val="none"/>
          <w:u w:val="none"/>
          <w:lang w:eastAsia="zh-CN"/>
        </w:rPr>
        <w:t>月</w:t>
      </w:r>
      <w:r>
        <w:rPr>
          <w:rFonts w:hint="default" w:ascii="Times New Roman" w:hAnsi="Times New Roman" w:cs="Times New Roman"/>
          <w:color w:val="auto"/>
          <w:sz w:val="24"/>
          <w:highlight w:val="none"/>
          <w:u w:val="none"/>
          <w:lang w:val="en-US" w:eastAsia="zh-CN"/>
        </w:rPr>
        <w:t>15</w:t>
      </w:r>
      <w:r>
        <w:rPr>
          <w:rFonts w:hint="default" w:ascii="Times New Roman" w:hAnsi="Times New Roman" w:eastAsia="宋体" w:cs="Times New Roman"/>
          <w:color w:val="auto"/>
          <w:sz w:val="24"/>
          <w:highlight w:val="none"/>
          <w:u w:val="none"/>
          <w:lang w:eastAsia="zh-CN"/>
        </w:rPr>
        <w:t>日在《中国证券报》《证券时报》和巨潮资讯网上披露的《关于全资子公司长源电力青山热电脱硫废水深度治理EPC项目关联交易的公告》，公告编号：</w:t>
      </w:r>
      <w:r>
        <w:rPr>
          <w:rFonts w:hint="default" w:ascii="Times New Roman" w:hAnsi="Times New Roman" w:eastAsia="宋体" w:cs="Times New Roman"/>
          <w:color w:val="auto"/>
          <w:sz w:val="24"/>
          <w:highlight w:val="none"/>
          <w:u w:val="none"/>
          <w:lang w:val="en-US" w:eastAsia="zh-CN"/>
        </w:rPr>
        <w:t>202</w:t>
      </w:r>
      <w:r>
        <w:rPr>
          <w:rFonts w:hint="default" w:ascii="Times New Roman" w:hAnsi="Times New Roman" w:cs="Times New Roman"/>
          <w:color w:val="auto"/>
          <w:sz w:val="24"/>
          <w:highlight w:val="none"/>
          <w:u w:val="none"/>
          <w:lang w:val="en-US" w:eastAsia="zh-CN"/>
        </w:rPr>
        <w:t>6</w:t>
      </w:r>
      <w:r>
        <w:rPr>
          <w:rFonts w:hint="default" w:ascii="Times New Roman" w:hAnsi="Times New Roman" w:eastAsia="宋体" w:cs="Times New Roman"/>
          <w:color w:val="auto"/>
          <w:sz w:val="24"/>
          <w:highlight w:val="none"/>
          <w:u w:val="none"/>
          <w:lang w:val="en-US" w:eastAsia="zh-CN"/>
        </w:rPr>
        <w:t>-0</w:t>
      </w:r>
      <w:r>
        <w:rPr>
          <w:rFonts w:hint="default" w:ascii="Times New Roman" w:hAnsi="Times New Roman" w:cs="Times New Roman"/>
          <w:color w:val="auto"/>
          <w:sz w:val="24"/>
          <w:highlight w:val="none"/>
          <w:u w:val="none"/>
          <w:lang w:val="en-US" w:eastAsia="zh-CN"/>
        </w:rPr>
        <w:t>03</w:t>
      </w:r>
      <w:r>
        <w:rPr>
          <w:rFonts w:hint="default" w:ascii="Times New Roman" w:hAnsi="Times New Roman" w:eastAsia="宋体" w:cs="Times New Roman"/>
          <w:color w:val="auto"/>
          <w:sz w:val="24"/>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380" w:lineRule="exact"/>
        <w:ind w:firstLine="482" w:firstLineChars="200"/>
        <w:contextualSpacing/>
        <w:textAlignment w:val="auto"/>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二、关联交易进展情况</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contextualSpacing/>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cs="Times New Roman"/>
          <w:color w:val="auto"/>
          <w:sz w:val="24"/>
          <w:highlight w:val="none"/>
          <w:lang w:val="en-US" w:eastAsia="zh-CN"/>
        </w:rPr>
        <w:t>2026</w:t>
      </w:r>
      <w:r>
        <w:rPr>
          <w:rFonts w:hint="default" w:ascii="Times New Roman" w:hAnsi="Times New Roman" w:eastAsia="宋体" w:cs="Times New Roman"/>
          <w:color w:val="auto"/>
          <w:sz w:val="24"/>
          <w:highlight w:val="none"/>
        </w:rPr>
        <w:t>年</w:t>
      </w:r>
      <w:r>
        <w:rPr>
          <w:rFonts w:hint="default" w:ascii="Times New Roman" w:hAnsi="Times New Roman" w:cs="Times New Roman"/>
          <w:color w:val="auto"/>
          <w:sz w:val="24"/>
          <w:highlight w:val="none"/>
          <w:lang w:val="en-US" w:eastAsia="zh-CN"/>
        </w:rPr>
        <w:t>２</w:t>
      </w:r>
      <w:r>
        <w:rPr>
          <w:rFonts w:hint="default" w:ascii="Times New Roman" w:hAnsi="Times New Roman" w:eastAsia="宋体" w:cs="Times New Roman"/>
          <w:color w:val="auto"/>
          <w:sz w:val="24"/>
          <w:highlight w:val="none"/>
        </w:rPr>
        <w:t>月</w:t>
      </w:r>
      <w:r>
        <w:rPr>
          <w:rFonts w:hint="default" w:ascii="Times New Roman" w:hAnsi="Times New Roman" w:cs="Times New Roman"/>
          <w:color w:val="auto"/>
          <w:sz w:val="24"/>
          <w:highlight w:val="none"/>
          <w:lang w:val="en-US" w:eastAsia="zh-CN"/>
        </w:rPr>
        <w:t>２</w:t>
      </w:r>
      <w:r>
        <w:rPr>
          <w:rFonts w:hint="default" w:ascii="Times New Roman" w:hAnsi="Times New Roman" w:eastAsia="宋体" w:cs="Times New Roman"/>
          <w:color w:val="auto"/>
          <w:sz w:val="24"/>
          <w:highlight w:val="none"/>
        </w:rPr>
        <w:t>日，</w:t>
      </w:r>
      <w:r>
        <w:rPr>
          <w:rFonts w:hint="default" w:ascii="Times New Roman" w:hAnsi="Times New Roman" w:cs="Times New Roman"/>
          <w:color w:val="auto"/>
          <w:sz w:val="24"/>
          <w:highlight w:val="none"/>
          <w:lang w:val="en-US" w:eastAsia="zh-CN"/>
        </w:rPr>
        <w:t>青山公司</w:t>
      </w:r>
      <w:r>
        <w:rPr>
          <w:rFonts w:hint="default" w:ascii="Times New Roman" w:hAnsi="Times New Roman" w:eastAsia="宋体" w:cs="Times New Roman"/>
          <w:color w:val="auto"/>
          <w:kern w:val="2"/>
          <w:sz w:val="24"/>
          <w:szCs w:val="24"/>
          <w:highlight w:val="none"/>
          <w:lang w:val="en-US" w:eastAsia="zh-CN" w:bidi="ar-SA"/>
        </w:rPr>
        <w:t>与</w:t>
      </w:r>
      <w:r>
        <w:rPr>
          <w:rStyle w:val="5"/>
          <w:rFonts w:hint="default" w:ascii="Times New Roman" w:hAnsi="Times New Roman" w:cs="Times New Roman"/>
          <w:b w:val="0"/>
          <w:i w:val="0"/>
          <w:caps w:val="0"/>
          <w:color w:val="auto"/>
          <w:spacing w:val="0"/>
          <w:w w:val="100"/>
          <w:kern w:val="2"/>
          <w:sz w:val="24"/>
          <w:szCs w:val="24"/>
          <w:highlight w:val="none"/>
          <w:lang w:val="en-US" w:eastAsia="zh-CN" w:bidi="ar-SA"/>
        </w:rPr>
        <w:t>国能水务</w:t>
      </w:r>
      <w:r>
        <w:rPr>
          <w:rFonts w:hint="default" w:ascii="Times New Roman" w:hAnsi="Times New Roman" w:eastAsia="宋体" w:cs="Times New Roman"/>
          <w:color w:val="auto"/>
          <w:kern w:val="2"/>
          <w:sz w:val="24"/>
          <w:szCs w:val="24"/>
          <w:highlight w:val="none"/>
          <w:lang w:val="en-US" w:eastAsia="zh-CN" w:bidi="ar-SA"/>
        </w:rPr>
        <w:t>签署了《长源电力青山热电脱硫废水深度治理EPC工程合同</w:t>
      </w:r>
      <w:r>
        <w:rPr>
          <w:rFonts w:hint="default" w:ascii="Times New Roman" w:hAnsi="Times New Roman" w:cs="Times New Roman"/>
          <w:color w:val="auto"/>
          <w:kern w:val="2"/>
          <w:sz w:val="24"/>
          <w:szCs w:val="24"/>
          <w:highlight w:val="none"/>
          <w:lang w:val="en-US" w:eastAsia="zh-CN" w:bidi="ar-SA"/>
        </w:rPr>
        <w:t>》</w:t>
      </w:r>
      <w:r>
        <w:rPr>
          <w:rFonts w:hint="default" w:ascii="Times New Roman" w:hAnsi="Times New Roman" w:eastAsia="宋体" w:cs="Times New Roman"/>
          <w:color w:val="auto"/>
          <w:kern w:val="2"/>
          <w:sz w:val="24"/>
          <w:szCs w:val="24"/>
          <w:highlight w:val="none"/>
          <w:lang w:val="en-US" w:eastAsia="zh-CN" w:bidi="ar-SA"/>
        </w:rPr>
        <w:t>，其主要内容如下：</w:t>
      </w:r>
    </w:p>
    <w:p>
      <w:pPr>
        <w:keepNext w:val="0"/>
        <w:keepLines w:val="0"/>
        <w:pageBreakBefore w:val="0"/>
        <w:widowControl w:val="0"/>
        <w:kinsoku/>
        <w:wordWrap/>
        <w:overflowPunct/>
        <w:topLinePunct w:val="0"/>
        <w:autoSpaceDE/>
        <w:autoSpaceDN/>
        <w:bidi w:val="0"/>
        <w:adjustRightInd/>
        <w:snapToGrid/>
        <w:spacing w:line="380" w:lineRule="exact"/>
        <w:ind w:firstLine="482" w:firstLineChars="200"/>
        <w:contextualSpacing/>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b/>
          <w:bCs/>
          <w:color w:val="auto"/>
          <w:kern w:val="2"/>
          <w:sz w:val="24"/>
          <w:szCs w:val="24"/>
          <w:highlight w:val="none"/>
          <w:lang w:val="en-US" w:eastAsia="zh-CN" w:bidi="ar-SA"/>
        </w:rPr>
        <w:t>1.合同标的：</w:t>
      </w:r>
      <w:r>
        <w:rPr>
          <w:rFonts w:hint="default" w:ascii="Times New Roman" w:hAnsi="Times New Roman" w:eastAsia="宋体" w:cs="Times New Roman"/>
          <w:i w:val="0"/>
          <w:iCs w:val="0"/>
          <w:color w:val="auto"/>
          <w:sz w:val="24"/>
          <w:szCs w:val="24"/>
          <w:highlight w:val="none"/>
          <w:u w:val="none"/>
        </w:rPr>
        <w:t>本工程拟建设一套脱硫废水处理系统，处理能力不低于12吨/小时，</w:t>
      </w:r>
      <w:r>
        <w:rPr>
          <w:rFonts w:hint="default" w:ascii="Times New Roman" w:hAnsi="Times New Roman" w:eastAsia="宋体" w:cs="Times New Roman"/>
          <w:b w:val="0"/>
          <w:bCs w:val="0"/>
          <w:i w:val="0"/>
          <w:iCs w:val="0"/>
          <w:color w:val="auto"/>
          <w:sz w:val="24"/>
          <w:szCs w:val="24"/>
          <w:highlight w:val="none"/>
          <w:u w:val="none"/>
        </w:rPr>
        <w:t>采用</w:t>
      </w:r>
      <w:r>
        <w:rPr>
          <w:rFonts w:hint="default" w:ascii="Times New Roman" w:hAnsi="Times New Roman" w:eastAsia="宋体" w:cs="Times New Roman"/>
          <w:b w:val="0"/>
          <w:bCs w:val="0"/>
          <w:i w:val="0"/>
          <w:iCs w:val="0"/>
          <w:color w:val="auto"/>
          <w:sz w:val="24"/>
          <w:szCs w:val="24"/>
          <w:highlight w:val="none"/>
          <w:u w:val="none"/>
          <w:lang w:val="en-US" w:eastAsia="zh-CN" w:bidi="ar-SA"/>
        </w:rPr>
        <w:t>三效浓缩减量</w:t>
      </w:r>
      <w:r>
        <w:rPr>
          <w:rFonts w:hint="default" w:ascii="Times New Roman" w:hAnsi="Times New Roman" w:cs="Times New Roman"/>
          <w:b w:val="0"/>
          <w:bCs w:val="0"/>
          <w:i w:val="0"/>
          <w:iCs w:val="0"/>
          <w:color w:val="auto"/>
          <w:sz w:val="24"/>
          <w:szCs w:val="24"/>
          <w:highlight w:val="none"/>
          <w:u w:val="none"/>
          <w:lang w:val="en-US" w:eastAsia="zh-CN" w:bidi="ar-SA"/>
        </w:rPr>
        <w:t>加</w:t>
      </w:r>
      <w:r>
        <w:rPr>
          <w:rFonts w:hint="default" w:ascii="Times New Roman" w:hAnsi="Times New Roman" w:eastAsia="宋体" w:cs="Times New Roman"/>
          <w:b w:val="0"/>
          <w:bCs w:val="0"/>
          <w:i w:val="0"/>
          <w:iCs w:val="0"/>
          <w:color w:val="auto"/>
          <w:sz w:val="24"/>
          <w:szCs w:val="24"/>
          <w:highlight w:val="none"/>
          <w:u w:val="none"/>
          <w:lang w:val="en-US" w:eastAsia="zh-CN" w:bidi="ar-SA"/>
        </w:rPr>
        <w:t>旋转喷雾干燥塔</w:t>
      </w:r>
      <w:r>
        <w:rPr>
          <w:rFonts w:hint="default" w:ascii="Times New Roman" w:hAnsi="Times New Roman" w:eastAsia="宋体" w:cs="Times New Roman"/>
          <w:b w:val="0"/>
          <w:bCs w:val="0"/>
          <w:i w:val="0"/>
          <w:iCs w:val="0"/>
          <w:color w:val="auto"/>
          <w:sz w:val="24"/>
          <w:szCs w:val="24"/>
          <w:highlight w:val="none"/>
          <w:u w:val="none"/>
        </w:rPr>
        <w:t>工艺，</w:t>
      </w:r>
      <w:r>
        <w:rPr>
          <w:rFonts w:hint="default" w:ascii="Times New Roman" w:hAnsi="Times New Roman" w:eastAsia="宋体" w:cs="Times New Roman"/>
          <w:i w:val="0"/>
          <w:iCs w:val="0"/>
          <w:color w:val="auto"/>
          <w:sz w:val="24"/>
          <w:szCs w:val="24"/>
          <w:highlight w:val="none"/>
          <w:u w:val="none"/>
        </w:rPr>
        <w:t>包括工艺、控制、电气、建筑、结构、暖通、水工、消防、通信、信息等全部工程范围内的整体设计、设备采购</w:t>
      </w:r>
      <w:r>
        <w:rPr>
          <w:rFonts w:hint="default" w:ascii="Times New Roman" w:hAnsi="Times New Roman" w:eastAsia="宋体" w:cs="Times New Roman"/>
          <w:i w:val="0"/>
          <w:iCs w:val="0"/>
          <w:color w:val="auto"/>
          <w:sz w:val="24"/>
          <w:szCs w:val="24"/>
          <w:highlight w:val="none"/>
          <w:u w:val="none"/>
          <w:lang w:eastAsia="zh-CN"/>
        </w:rPr>
        <w:t>，</w:t>
      </w:r>
      <w:r>
        <w:rPr>
          <w:rFonts w:hint="default" w:ascii="Times New Roman" w:hAnsi="Times New Roman" w:eastAsia="宋体" w:cs="Times New Roman"/>
          <w:i w:val="0"/>
          <w:iCs w:val="0"/>
          <w:color w:val="auto"/>
          <w:sz w:val="24"/>
          <w:szCs w:val="24"/>
          <w:highlight w:val="none"/>
          <w:u w:val="none"/>
        </w:rPr>
        <w:t>投标人须对本标的范围内的技术、性能、设计、安全、可靠性及加工制造的部件质量全面负责</w:t>
      </w:r>
      <w:r>
        <w:rPr>
          <w:rFonts w:hint="default" w:ascii="Times New Roman" w:hAnsi="Times New Roman" w:eastAsia="宋体" w:cs="Times New Roman"/>
          <w:color w:val="auto"/>
          <w:kern w:val="2"/>
          <w:sz w:val="24"/>
          <w:szCs w:val="24"/>
          <w:highlight w:val="none"/>
          <w:u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380" w:lineRule="exact"/>
        <w:ind w:firstLine="482" w:firstLineChars="200"/>
        <w:contextualSpacing/>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b/>
          <w:color w:val="auto"/>
          <w:sz w:val="24"/>
          <w:highlight w:val="none"/>
        </w:rPr>
        <w:t>2.合同价格：</w:t>
      </w:r>
      <w:r>
        <w:rPr>
          <w:rFonts w:hint="default" w:ascii="Times New Roman" w:hAnsi="Times New Roman" w:eastAsia="宋体" w:cs="Times New Roman"/>
          <w:color w:val="auto"/>
          <w:sz w:val="24"/>
          <w:highlight w:val="none"/>
        </w:rPr>
        <w:t>人民币</w:t>
      </w:r>
      <w:r>
        <w:rPr>
          <w:rFonts w:ascii="Times New Roman" w:hAnsi="Times New Roman" w:eastAsia="宋体" w:cs="Times New Roman"/>
          <w:sz w:val="24"/>
          <w:szCs w:val="24"/>
          <w:highlight w:val="none"/>
        </w:rPr>
        <w:t>3</w:t>
      </w:r>
      <w:r>
        <w:rPr>
          <w:rFonts w:hint="default" w:ascii="Times New Roman" w:hAnsi="Times New Roman" w:cs="Times New Roman"/>
          <w:sz w:val="24"/>
          <w:szCs w:val="24"/>
          <w:highlight w:val="none"/>
          <w:lang w:val="en-US" w:eastAsia="zh-CN"/>
        </w:rPr>
        <w:t>,</w:t>
      </w:r>
      <w:r>
        <w:rPr>
          <w:rFonts w:ascii="Times New Roman" w:hAnsi="Times New Roman" w:eastAsia="宋体" w:cs="Times New Roman"/>
          <w:sz w:val="24"/>
          <w:szCs w:val="24"/>
          <w:highlight w:val="none"/>
        </w:rPr>
        <w:t>670.00368</w:t>
      </w:r>
      <w:r>
        <w:rPr>
          <w:rStyle w:val="5"/>
          <w:rFonts w:hint="default" w:ascii="Times New Roman" w:hAnsi="Times New Roman" w:eastAsia="宋体" w:cs="Times New Roman"/>
          <w:b w:val="0"/>
          <w:i w:val="0"/>
          <w:caps w:val="0"/>
          <w:color w:val="auto"/>
          <w:spacing w:val="0"/>
          <w:w w:val="100"/>
          <w:kern w:val="2"/>
          <w:sz w:val="24"/>
          <w:szCs w:val="24"/>
          <w:highlight w:val="none"/>
          <w:u w:val="none"/>
          <w:lang w:val="en-US" w:eastAsia="zh-CN" w:bidi="ar-SA"/>
        </w:rPr>
        <w:t>万元</w:t>
      </w:r>
      <w:r>
        <w:rPr>
          <w:rFonts w:hint="default" w:ascii="Times New Roman" w:hAnsi="Times New Roman" w:eastAsia="宋体" w:cs="Times New Roman"/>
          <w:color w:val="auto"/>
          <w:sz w:val="24"/>
          <w:highlight w:val="none"/>
        </w:rPr>
        <w:t>。</w:t>
      </w:r>
    </w:p>
    <w:p>
      <w:pPr>
        <w:keepNext w:val="0"/>
        <w:keepLines w:val="0"/>
        <w:pageBreakBefore w:val="0"/>
        <w:widowControl w:val="0"/>
        <w:kinsoku/>
        <w:wordWrap/>
        <w:overflowPunct/>
        <w:topLinePunct w:val="0"/>
        <w:autoSpaceDE/>
        <w:autoSpaceDN/>
        <w:bidi w:val="0"/>
        <w:adjustRightInd/>
        <w:snapToGrid/>
        <w:spacing w:line="380" w:lineRule="exact"/>
        <w:ind w:firstLine="482" w:firstLineChars="200"/>
        <w:contextualSpacing/>
        <w:textAlignment w:val="auto"/>
        <w:rPr>
          <w:rFonts w:hint="default" w:ascii="Times New Roman" w:hAnsi="Times New Roman" w:cs="Times New Roman"/>
          <w:bCs/>
          <w:color w:val="auto"/>
          <w:sz w:val="24"/>
          <w:szCs w:val="24"/>
          <w:highlight w:val="none"/>
          <w:lang w:eastAsia="zh-CN"/>
        </w:rPr>
      </w:pPr>
      <w:r>
        <w:rPr>
          <w:rFonts w:hint="default" w:ascii="Times New Roman" w:hAnsi="Times New Roman" w:eastAsia="宋体" w:cs="Times New Roman"/>
          <w:b/>
          <w:color w:val="auto"/>
          <w:sz w:val="24"/>
          <w:highlight w:val="none"/>
        </w:rPr>
        <w:t>3.付款方式：</w:t>
      </w:r>
      <w:r>
        <w:rPr>
          <w:rFonts w:hint="default" w:ascii="Times New Roman" w:hAnsi="Times New Roman" w:cs="Times New Roman"/>
          <w:bCs/>
          <w:color w:val="auto"/>
          <w:sz w:val="24"/>
          <w:szCs w:val="24"/>
          <w:highlight w:val="none"/>
          <w:lang w:eastAsia="zh-CN"/>
        </w:rPr>
        <w:t>本合同价格由不含税价和税金组成；非适用单一税率的合同，各项不含税价格、税率及税金按合同专用条款约定执行</w:t>
      </w:r>
      <w:r>
        <w:rPr>
          <w:rFonts w:hint="default" w:ascii="Times New Roman" w:hAnsi="Times New Roman" w:cs="Times New Roman"/>
          <w:color w:val="auto"/>
          <w:kern w:val="2"/>
          <w:sz w:val="24"/>
          <w:szCs w:val="24"/>
          <w:highlight w:val="none"/>
          <w:lang w:val="en-US" w:eastAsia="zh-CN" w:bidi="ar-SA"/>
        </w:rPr>
        <w:t>。</w:t>
      </w:r>
      <w:r>
        <w:rPr>
          <w:rFonts w:hint="default" w:ascii="Times New Roman" w:hAnsi="Times New Roman" w:cs="Times New Roman"/>
          <w:bCs/>
          <w:color w:val="auto"/>
          <w:sz w:val="24"/>
          <w:szCs w:val="24"/>
          <w:highlight w:val="none"/>
          <w:lang w:eastAsia="zh-CN"/>
        </w:rPr>
        <w:t>不含税价包括但不限于设计费、合同设备生产成本、包装费、运输费、装卸费、保险费、技术服务费、培训费、资料费、安装调试费、性能试验费、人员工资、加班费等承包人履行本合同义务所需的全部不含税费用。不含税价在合同有效期间保持不变，不因市场价格变化、政策调整、不可抗力事件或其他任何因素而调整。</w:t>
      </w:r>
      <w:r>
        <w:rPr>
          <w:rFonts w:hint="default" w:ascii="Times New Roman" w:hAnsi="Times New Roman" w:cs="Times New Roman"/>
          <w:bCs/>
          <w:color w:val="auto"/>
          <w:sz w:val="24"/>
          <w:szCs w:val="20"/>
          <w:highlight w:val="none"/>
          <w:lang w:eastAsia="zh-CN"/>
        </w:rPr>
        <w:t>付款</w:t>
      </w:r>
      <w:r>
        <w:rPr>
          <w:rFonts w:hint="default" w:ascii="Times New Roman" w:hAnsi="Times New Roman" w:cs="Times New Roman"/>
          <w:bCs/>
          <w:color w:val="auto"/>
          <w:sz w:val="24"/>
          <w:szCs w:val="20"/>
          <w:highlight w:val="none"/>
          <w:lang w:val="en-US" w:eastAsia="zh-CN"/>
        </w:rPr>
        <w:t>采用</w:t>
      </w:r>
      <w:r>
        <w:rPr>
          <w:rFonts w:hint="default" w:ascii="Times New Roman" w:hAnsi="Times New Roman" w:cs="Times New Roman"/>
          <w:bCs/>
          <w:color w:val="auto"/>
          <w:sz w:val="24"/>
          <w:szCs w:val="24"/>
          <w:highlight w:val="none"/>
          <w:lang w:eastAsia="zh-CN"/>
        </w:rPr>
        <w:t>转账/电汇</w:t>
      </w:r>
      <w:r>
        <w:rPr>
          <w:rFonts w:hint="default" w:ascii="Times New Roman" w:hAnsi="Times New Roman" w:cs="Times New Roman"/>
          <w:bCs/>
          <w:color w:val="auto"/>
          <w:sz w:val="24"/>
          <w:szCs w:val="24"/>
          <w:highlight w:val="none"/>
          <w:lang w:val="en-US" w:eastAsia="zh-CN"/>
        </w:rPr>
        <w:t>或</w:t>
      </w:r>
      <w:r>
        <w:rPr>
          <w:rFonts w:hint="default" w:ascii="Times New Roman" w:hAnsi="Times New Roman" w:cs="Times New Roman"/>
          <w:bCs/>
          <w:color w:val="auto"/>
          <w:sz w:val="24"/>
          <w:szCs w:val="24"/>
          <w:highlight w:val="none"/>
          <w:lang w:eastAsia="zh-CN"/>
        </w:rPr>
        <w:t>银行承兑汇票。</w:t>
      </w:r>
    </w:p>
    <w:p>
      <w:pPr>
        <w:keepNext w:val="0"/>
        <w:keepLines w:val="0"/>
        <w:widowControl w:val="0"/>
        <w:suppressLineNumbers w:val="0"/>
        <w:spacing w:line="380" w:lineRule="exact"/>
        <w:ind w:firstLine="482" w:firstLineChars="200"/>
        <w:contextualSpacing/>
        <w:jc w:val="left"/>
        <w:rPr>
          <w:rFonts w:ascii="Times New Roman" w:hAnsi="Times New Roman" w:eastAsia="宋体" w:cs="Times New Roman"/>
          <w:bCs/>
          <w:i w:val="0"/>
          <w:iCs w:val="0"/>
          <w:color w:val="auto"/>
          <w:sz w:val="24"/>
          <w:highlight w:val="none"/>
        </w:rPr>
      </w:pPr>
      <w:r>
        <w:rPr>
          <w:rFonts w:hint="default" w:ascii="Times New Roman" w:hAnsi="Times New Roman" w:eastAsia="宋体" w:cs="Times New Roman"/>
          <w:b/>
          <w:color w:val="auto"/>
          <w:sz w:val="24"/>
          <w:highlight w:val="none"/>
        </w:rPr>
        <w:t>4.</w:t>
      </w:r>
      <w:r>
        <w:rPr>
          <w:rFonts w:hint="default" w:ascii="Times New Roman" w:hAnsi="Times New Roman" w:cs="Times New Roman"/>
          <w:b/>
          <w:color w:val="auto"/>
          <w:sz w:val="24"/>
          <w:highlight w:val="none"/>
          <w:lang w:eastAsia="zh-CN"/>
        </w:rPr>
        <w:t>转让与分包</w:t>
      </w:r>
      <w:r>
        <w:rPr>
          <w:rFonts w:hint="default" w:ascii="Times New Roman" w:hAnsi="Times New Roman" w:eastAsia="宋体" w:cs="Times New Roman"/>
          <w:b/>
          <w:color w:val="auto"/>
          <w:sz w:val="24"/>
          <w:highlight w:val="none"/>
        </w:rPr>
        <w:t>：</w:t>
      </w:r>
      <w:r>
        <w:rPr>
          <w:rFonts w:ascii="Times New Roman" w:hAnsi="Times New Roman" w:eastAsia="宋体" w:cs="Times New Roman"/>
          <w:bCs/>
          <w:i w:val="0"/>
          <w:iCs w:val="0"/>
          <w:color w:val="auto"/>
          <w:sz w:val="24"/>
          <w:highlight w:val="none"/>
        </w:rPr>
        <w:t>允许依法分包。</w:t>
      </w:r>
    </w:p>
    <w:p>
      <w:pPr>
        <w:widowControl w:val="0"/>
        <w:spacing w:line="380" w:lineRule="exact"/>
        <w:ind w:firstLine="480" w:firstLineChars="200"/>
        <w:contextualSpacing/>
        <w:rPr>
          <w:rFonts w:hint="default" w:ascii="Times New Roman" w:hAnsi="Times New Roman" w:eastAsia="宋体" w:cs="Times New Roman"/>
          <w:bCs/>
          <w:color w:val="auto"/>
          <w:sz w:val="24"/>
          <w:highlight w:val="none"/>
          <w:lang w:val="en-US" w:eastAsia="zh-CN" w:bidi="zh-CN"/>
        </w:rPr>
      </w:pPr>
      <w:r>
        <w:rPr>
          <w:rFonts w:ascii="Times New Roman" w:hAnsi="Times New Roman" w:eastAsia="宋体" w:cs="Times New Roman"/>
          <w:bCs/>
          <w:color w:val="auto"/>
          <w:sz w:val="24"/>
          <w:highlight w:val="none"/>
          <w:lang w:val="zh-CN" w:eastAsia="zh-CN" w:bidi="zh-CN"/>
        </w:rPr>
        <w:t>分包内容要求：</w:t>
      </w:r>
      <w:r>
        <w:rPr>
          <w:rFonts w:hint="default" w:ascii="Times New Roman" w:hAnsi="Times New Roman" w:eastAsia="宋体" w:cs="Times New Roman"/>
          <w:bCs/>
          <w:color w:val="auto"/>
          <w:sz w:val="24"/>
          <w:szCs w:val="24"/>
          <w:highlight w:val="none"/>
        </w:rPr>
        <w:t>若中标单位为设计单位，允许分包内容为工程施工；若中标单位为施工单位，允许分包内容为工程设计。</w:t>
      </w:r>
    </w:p>
    <w:p>
      <w:pPr>
        <w:keepNext w:val="0"/>
        <w:keepLines w:val="0"/>
        <w:pageBreakBefore w:val="0"/>
        <w:widowControl w:val="0"/>
        <w:kinsoku/>
        <w:wordWrap/>
        <w:overflowPunct/>
        <w:topLinePunct w:val="0"/>
        <w:autoSpaceDE/>
        <w:autoSpaceDN/>
        <w:bidi w:val="0"/>
        <w:adjustRightInd/>
        <w:snapToGrid/>
        <w:spacing w:line="380" w:lineRule="exact"/>
        <w:ind w:firstLine="482" w:firstLineChars="200"/>
        <w:contextualSpacing/>
        <w:textAlignment w:val="auto"/>
        <w:rPr>
          <w:rFonts w:hint="default" w:ascii="Times New Roman" w:hAnsi="Times New Roman" w:eastAsia="宋体" w:cs="Times New Roman"/>
          <w:b/>
          <w:color w:val="auto"/>
          <w:sz w:val="24"/>
          <w:highlight w:val="none"/>
        </w:rPr>
      </w:pPr>
      <w:r>
        <w:rPr>
          <w:rFonts w:hint="default" w:ascii="Times New Roman" w:hAnsi="Times New Roman" w:eastAsia="宋体" w:cs="Times New Roman"/>
          <w:b/>
          <w:bCs w:val="0"/>
          <w:color w:val="auto"/>
          <w:sz w:val="24"/>
          <w:szCs w:val="24"/>
          <w:highlight w:val="none"/>
          <w:lang w:val="en-US" w:eastAsia="zh-CN"/>
        </w:rPr>
        <w:t>5</w:t>
      </w:r>
      <w:r>
        <w:rPr>
          <w:rFonts w:hint="default" w:ascii="Times New Roman" w:hAnsi="Times New Roman" w:cs="Times New Roman"/>
          <w:b/>
          <w:bCs w:val="0"/>
          <w:color w:val="auto"/>
          <w:sz w:val="24"/>
          <w:szCs w:val="24"/>
          <w:highlight w:val="none"/>
          <w:lang w:val="en-US" w:eastAsia="zh-CN"/>
        </w:rPr>
        <w:t>.</w:t>
      </w:r>
      <w:r>
        <w:rPr>
          <w:rFonts w:hint="default" w:ascii="Times New Roman" w:hAnsi="Times New Roman" w:eastAsia="宋体" w:cs="Times New Roman"/>
          <w:b/>
          <w:color w:val="auto"/>
          <w:sz w:val="24"/>
          <w:highlight w:val="none"/>
        </w:rPr>
        <w:t>主要违约责任：</w:t>
      </w:r>
    </w:p>
    <w:p>
      <w:pPr>
        <w:widowControl w:val="0"/>
        <w:spacing w:line="380" w:lineRule="exact"/>
        <w:ind w:firstLine="480" w:firstLineChars="200"/>
        <w:contextualSpacing/>
        <w:jc w:val="left"/>
        <w:rPr>
          <w:rFonts w:ascii="Times New Roman" w:hAnsi="Times New Roman" w:eastAsia="宋体" w:cs="Times New Roman"/>
          <w:bCs/>
          <w:i w:val="0"/>
          <w:iCs w:val="0"/>
          <w:color w:val="auto"/>
          <w:sz w:val="24"/>
          <w:szCs w:val="24"/>
          <w:highlight w:val="none"/>
          <w:lang w:val="zh-CN" w:eastAsia="zh-CN" w:bidi="zh-CN"/>
        </w:rPr>
      </w:pPr>
      <w:r>
        <w:rPr>
          <w:rFonts w:hint="default" w:ascii="Times New Roman" w:hAnsi="Times New Roman" w:eastAsia="宋体" w:cs="Times New Roman"/>
          <w:bCs/>
          <w:color w:val="auto"/>
          <w:sz w:val="24"/>
          <w:highlight w:val="none"/>
          <w:u w:val="none"/>
          <w:lang w:eastAsia="zh-CN"/>
        </w:rPr>
        <w:t>（</w:t>
      </w:r>
      <w:r>
        <w:rPr>
          <w:rFonts w:hint="default" w:ascii="Times New Roman" w:hAnsi="Times New Roman" w:eastAsia="宋体" w:cs="Times New Roman"/>
          <w:bCs/>
          <w:color w:val="auto"/>
          <w:sz w:val="24"/>
          <w:highlight w:val="none"/>
          <w:u w:val="none"/>
          <w:lang w:val="en-US" w:eastAsia="zh-CN"/>
        </w:rPr>
        <w:t>1</w:t>
      </w:r>
      <w:r>
        <w:rPr>
          <w:rFonts w:hint="default" w:ascii="Times New Roman" w:hAnsi="Times New Roman" w:eastAsia="宋体" w:cs="Times New Roman"/>
          <w:bCs/>
          <w:color w:val="auto"/>
          <w:sz w:val="24"/>
          <w:highlight w:val="none"/>
          <w:u w:val="none"/>
          <w:lang w:eastAsia="zh-CN"/>
        </w:rPr>
        <w:t>）</w:t>
      </w:r>
      <w:r>
        <w:rPr>
          <w:rFonts w:hint="default" w:ascii="Times New Roman" w:hAnsi="Times New Roman" w:eastAsia="宋体" w:cs="Times New Roman"/>
          <w:bCs/>
          <w:i w:val="0"/>
          <w:iCs w:val="0"/>
          <w:color w:val="auto"/>
          <w:sz w:val="24"/>
          <w:szCs w:val="24"/>
          <w:highlight w:val="none"/>
          <w:lang w:val="zh-CN" w:eastAsia="zh-CN" w:bidi="zh-CN"/>
        </w:rPr>
        <w:t>发包人未能按合同约定及时足额支付合同价款的，每逾期一日应向承包人支付相当于逾期价款</w:t>
      </w:r>
      <w:r>
        <w:rPr>
          <w:rFonts w:hint="default" w:ascii="Times New Roman" w:hAnsi="Times New Roman" w:eastAsia="宋体" w:cs="Times New Roman"/>
          <w:bCs/>
          <w:i w:val="0"/>
          <w:iCs w:val="0"/>
          <w:color w:val="auto"/>
          <w:sz w:val="24"/>
          <w:szCs w:val="24"/>
          <w:highlight w:val="none"/>
          <w:u w:val="none"/>
          <w:lang w:val="zh-CN" w:eastAsia="zh-CN" w:bidi="zh-CN"/>
        </w:rPr>
        <w:t>0.01</w:t>
      </w:r>
      <w:r>
        <w:rPr>
          <w:rFonts w:hint="default" w:ascii="Times New Roman" w:hAnsi="Times New Roman" w:eastAsia="宋体" w:cs="Times New Roman"/>
          <w:bCs/>
          <w:i w:val="0"/>
          <w:iCs w:val="0"/>
          <w:color w:val="auto"/>
          <w:sz w:val="24"/>
          <w:szCs w:val="24"/>
          <w:highlight w:val="none"/>
          <w:lang w:val="zh-CN" w:eastAsia="zh-CN" w:bidi="zh-CN"/>
        </w:rPr>
        <w:t>%的违约金，但该项违约金的总额不超过发包人应付未付费用的</w:t>
      </w:r>
      <w:r>
        <w:rPr>
          <w:rFonts w:hint="default" w:ascii="Times New Roman" w:hAnsi="Times New Roman" w:eastAsia="宋体" w:cs="Times New Roman"/>
          <w:bCs/>
          <w:i w:val="0"/>
          <w:iCs w:val="0"/>
          <w:color w:val="auto"/>
          <w:sz w:val="24"/>
          <w:szCs w:val="24"/>
          <w:highlight w:val="none"/>
          <w:u w:val="none"/>
          <w:lang w:val="zh-CN" w:eastAsia="zh-CN" w:bidi="zh-CN"/>
        </w:rPr>
        <w:t>0.1</w:t>
      </w:r>
      <w:r>
        <w:rPr>
          <w:rFonts w:hint="default" w:ascii="Times New Roman" w:hAnsi="Times New Roman" w:eastAsia="宋体" w:cs="Times New Roman"/>
          <w:bCs/>
          <w:i w:val="0"/>
          <w:iCs w:val="0"/>
          <w:color w:val="auto"/>
          <w:sz w:val="24"/>
          <w:szCs w:val="24"/>
          <w:highlight w:val="none"/>
          <w:lang w:val="zh-CN" w:eastAsia="zh-CN" w:bidi="zh-CN"/>
        </w:rPr>
        <w:t>%。</w:t>
      </w:r>
    </w:p>
    <w:p>
      <w:pPr>
        <w:widowControl w:val="0"/>
        <w:spacing w:line="380" w:lineRule="exact"/>
        <w:ind w:left="0" w:firstLine="480" w:firstLineChars="200"/>
        <w:contextualSpacing/>
        <w:jc w:val="left"/>
        <w:rPr>
          <w:rFonts w:ascii="Times New Roman" w:hAnsi="Times New Roman" w:eastAsia="宋体" w:cs="Times New Roman"/>
          <w:bCs/>
          <w:i w:val="0"/>
          <w:iCs w:val="0"/>
          <w:color w:val="auto"/>
          <w:sz w:val="24"/>
          <w:szCs w:val="24"/>
          <w:highlight w:val="none"/>
          <w:lang w:val="zh-CN" w:eastAsia="zh-CN" w:bidi="zh-CN"/>
        </w:rPr>
      </w:pPr>
      <w:r>
        <w:rPr>
          <w:rFonts w:hint="default" w:ascii="Times New Roman" w:hAnsi="Times New Roman" w:eastAsia="宋体" w:cs="Times New Roman"/>
          <w:bCs/>
          <w:i w:val="0"/>
          <w:iCs w:val="0"/>
          <w:color w:val="auto"/>
          <w:sz w:val="24"/>
          <w:szCs w:val="24"/>
          <w:highlight w:val="none"/>
          <w:lang w:val="zh-CN" w:eastAsia="zh-CN" w:bidi="zh-CN"/>
        </w:rPr>
        <w:t>（2）性能保证违约责任</w:t>
      </w:r>
    </w:p>
    <w:p>
      <w:pPr>
        <w:widowControl w:val="0"/>
        <w:spacing w:line="380" w:lineRule="exact"/>
        <w:ind w:firstLine="480" w:firstLineChars="200"/>
        <w:contextualSpacing/>
        <w:jc w:val="left"/>
        <w:rPr>
          <w:rFonts w:ascii="Times New Roman" w:hAnsi="Times New Roman" w:eastAsia="宋体" w:cs="Times New Roman"/>
          <w:bCs/>
          <w:i w:val="0"/>
          <w:iCs w:val="0"/>
          <w:color w:val="auto"/>
          <w:sz w:val="24"/>
          <w:szCs w:val="24"/>
          <w:highlight w:val="none"/>
          <w:lang w:val="zh-CN" w:eastAsia="zh-CN" w:bidi="zh-CN"/>
        </w:rPr>
      </w:pPr>
      <w:r>
        <w:rPr>
          <w:rFonts w:hint="default" w:ascii="Times New Roman" w:hAnsi="Times New Roman" w:eastAsia="宋体" w:cs="Times New Roman"/>
          <w:bCs/>
          <w:i w:val="0"/>
          <w:iCs w:val="0"/>
          <w:color w:val="auto"/>
          <w:sz w:val="24"/>
          <w:szCs w:val="24"/>
          <w:highlight w:val="none"/>
          <w:lang w:val="zh-CN" w:eastAsia="zh-CN" w:bidi="zh-CN"/>
        </w:rPr>
        <w:t>合同设备的技术</w:t>
      </w:r>
      <w:r>
        <w:rPr>
          <w:rFonts w:ascii="Times New Roman" w:hAnsi="Times New Roman" w:eastAsia="宋体" w:cs="Times New Roman"/>
          <w:bCs/>
          <w:i w:val="0"/>
          <w:iCs w:val="0"/>
          <w:color w:val="auto"/>
          <w:sz w:val="24"/>
          <w:szCs w:val="24"/>
          <w:highlight w:val="none"/>
          <w:lang w:val="zh-CN" w:eastAsia="zh-CN" w:bidi="zh-CN"/>
        </w:rPr>
        <w:t>性能高于性能保证门槛值，但低于性能保证值</w:t>
      </w:r>
      <w:r>
        <w:rPr>
          <w:rFonts w:hint="default" w:ascii="Times New Roman" w:hAnsi="Times New Roman" w:eastAsia="宋体" w:cs="Times New Roman"/>
          <w:bCs/>
          <w:i w:val="0"/>
          <w:iCs w:val="0"/>
          <w:color w:val="auto"/>
          <w:sz w:val="24"/>
          <w:szCs w:val="24"/>
          <w:highlight w:val="none"/>
          <w:lang w:val="zh-CN" w:eastAsia="zh-CN" w:bidi="zh-CN"/>
        </w:rPr>
        <w:t>的</w:t>
      </w:r>
      <w:r>
        <w:rPr>
          <w:rFonts w:ascii="Times New Roman" w:hAnsi="Times New Roman" w:eastAsia="宋体" w:cs="Times New Roman"/>
          <w:bCs/>
          <w:i w:val="0"/>
          <w:iCs w:val="0"/>
          <w:color w:val="auto"/>
          <w:sz w:val="24"/>
          <w:szCs w:val="24"/>
          <w:highlight w:val="none"/>
          <w:lang w:val="zh-CN" w:eastAsia="zh-CN" w:bidi="zh-CN"/>
        </w:rPr>
        <w:t>，</w:t>
      </w:r>
      <w:r>
        <w:rPr>
          <w:rFonts w:hint="default" w:ascii="Times New Roman" w:hAnsi="Times New Roman" w:eastAsia="宋体" w:cs="Times New Roman"/>
          <w:bCs/>
          <w:i w:val="0"/>
          <w:iCs w:val="0"/>
          <w:color w:val="auto"/>
          <w:sz w:val="24"/>
          <w:szCs w:val="24"/>
          <w:highlight w:val="none"/>
          <w:lang w:val="zh-CN" w:eastAsia="zh-CN" w:bidi="zh-CN"/>
        </w:rPr>
        <w:t>发包人可选择按以下方式要求承包人承担性能保证违约责任：</w:t>
      </w:r>
    </w:p>
    <w:p>
      <w:pPr>
        <w:widowControl w:val="0"/>
        <w:spacing w:line="380" w:lineRule="exact"/>
        <w:ind w:firstLine="480" w:firstLineChars="200"/>
        <w:contextualSpacing/>
        <w:jc w:val="left"/>
        <w:rPr>
          <w:rFonts w:ascii="Times New Roman" w:hAnsi="Times New Roman" w:eastAsia="宋体" w:cs="Times New Roman"/>
          <w:bCs/>
          <w:i w:val="0"/>
          <w:iCs w:val="0"/>
          <w:color w:val="auto"/>
          <w:sz w:val="24"/>
          <w:szCs w:val="24"/>
          <w:highlight w:val="none"/>
          <w:lang w:val="zh-CN" w:eastAsia="zh-CN" w:bidi="zh-CN"/>
        </w:rPr>
      </w:pPr>
      <w:r>
        <w:rPr>
          <w:rFonts w:hint="default" w:ascii="Times New Roman" w:hAnsi="Times New Roman" w:cs="Times New Roman"/>
          <w:bCs/>
          <w:i w:val="0"/>
          <w:iCs w:val="0"/>
          <w:color w:val="auto"/>
          <w:sz w:val="24"/>
          <w:szCs w:val="24"/>
          <w:highlight w:val="none"/>
          <w:lang w:val="en-US" w:eastAsia="zh-CN" w:bidi="zh-CN"/>
        </w:rPr>
        <w:t>1.</w:t>
      </w:r>
      <w:r>
        <w:rPr>
          <w:rFonts w:hint="default" w:ascii="Times New Roman" w:hAnsi="Times New Roman" w:eastAsia="宋体" w:cs="Times New Roman"/>
          <w:bCs/>
          <w:i w:val="0"/>
          <w:iCs w:val="0"/>
          <w:color w:val="auto"/>
          <w:sz w:val="24"/>
          <w:szCs w:val="24"/>
          <w:highlight w:val="none"/>
          <w:lang w:val="zh-CN" w:eastAsia="zh-CN" w:bidi="zh-CN"/>
        </w:rPr>
        <w:t>承包人自费修复并以违约金方式支付达到性能保证值前发包人所发生的损失；</w:t>
      </w:r>
    </w:p>
    <w:p>
      <w:pPr>
        <w:widowControl w:val="0"/>
        <w:spacing w:line="380" w:lineRule="exact"/>
        <w:ind w:left="0" w:firstLine="480" w:firstLineChars="200"/>
        <w:contextualSpacing/>
        <w:jc w:val="left"/>
        <w:rPr>
          <w:rFonts w:ascii="Times New Roman" w:hAnsi="Times New Roman" w:eastAsia="宋体" w:cs="Times New Roman"/>
          <w:bCs/>
          <w:i w:val="0"/>
          <w:iCs w:val="0"/>
          <w:color w:val="auto"/>
          <w:sz w:val="24"/>
          <w:szCs w:val="24"/>
          <w:highlight w:val="none"/>
          <w:lang w:val="zh-CN" w:eastAsia="zh-CN" w:bidi="zh-CN"/>
        </w:rPr>
      </w:pPr>
      <w:r>
        <w:rPr>
          <w:rFonts w:hint="default" w:ascii="Times New Roman" w:hAnsi="Times New Roman" w:cs="Times New Roman"/>
          <w:bCs/>
          <w:i w:val="0"/>
          <w:iCs w:val="0"/>
          <w:color w:val="auto"/>
          <w:sz w:val="24"/>
          <w:szCs w:val="24"/>
          <w:highlight w:val="none"/>
          <w:lang w:val="en-US" w:eastAsia="zh-CN" w:bidi="zh-CN"/>
        </w:rPr>
        <w:t>2.</w:t>
      </w:r>
      <w:r>
        <w:rPr>
          <w:rFonts w:hint="default" w:ascii="Times New Roman" w:hAnsi="Times New Roman" w:eastAsia="宋体" w:cs="Times New Roman"/>
          <w:bCs/>
          <w:i w:val="0"/>
          <w:iCs w:val="0"/>
          <w:color w:val="auto"/>
          <w:sz w:val="24"/>
          <w:szCs w:val="24"/>
          <w:highlight w:val="none"/>
          <w:lang w:val="zh-CN" w:eastAsia="zh-CN" w:bidi="zh-CN"/>
        </w:rPr>
        <w:t>按贴现率</w:t>
      </w:r>
      <w:r>
        <w:rPr>
          <w:rFonts w:ascii="Times New Roman" w:hAnsi="Times New Roman" w:eastAsia="宋体" w:cs="Times New Roman"/>
          <w:bCs/>
          <w:i w:val="0"/>
          <w:iCs w:val="0"/>
          <w:color w:val="auto"/>
          <w:sz w:val="24"/>
          <w:szCs w:val="24"/>
          <w:highlight w:val="none"/>
          <w:u w:val="none"/>
          <w:lang w:val="zh-CN" w:eastAsia="zh-CN" w:bidi="zh-CN"/>
        </w:rPr>
        <w:t>8</w:t>
      </w:r>
      <w:r>
        <w:rPr>
          <w:rFonts w:hint="default" w:ascii="Times New Roman" w:hAnsi="Times New Roman" w:eastAsia="宋体" w:cs="Times New Roman"/>
          <w:bCs/>
          <w:i w:val="0"/>
          <w:iCs w:val="0"/>
          <w:color w:val="auto"/>
          <w:sz w:val="24"/>
          <w:szCs w:val="24"/>
          <w:highlight w:val="none"/>
          <w:lang w:val="zh-CN" w:eastAsia="zh-CN" w:bidi="zh-CN"/>
        </w:rPr>
        <w:t>％，计算</w:t>
      </w:r>
      <w:r>
        <w:rPr>
          <w:rFonts w:ascii="Times New Roman" w:hAnsi="Times New Roman" w:eastAsia="宋体" w:cs="Times New Roman"/>
          <w:bCs/>
          <w:i w:val="0"/>
          <w:iCs w:val="0"/>
          <w:color w:val="auto"/>
          <w:sz w:val="24"/>
          <w:szCs w:val="24"/>
          <w:highlight w:val="none"/>
          <w:lang w:val="zh-CN" w:eastAsia="zh-CN" w:bidi="zh-CN"/>
        </w:rPr>
        <w:t>20</w:t>
      </w:r>
      <w:r>
        <w:rPr>
          <w:rFonts w:hint="default" w:ascii="Times New Roman" w:hAnsi="Times New Roman" w:eastAsia="宋体" w:cs="Times New Roman"/>
          <w:bCs/>
          <w:i w:val="0"/>
          <w:iCs w:val="0"/>
          <w:color w:val="auto"/>
          <w:sz w:val="24"/>
          <w:szCs w:val="24"/>
          <w:highlight w:val="none"/>
          <w:lang w:val="zh-CN" w:eastAsia="zh-CN" w:bidi="zh-CN"/>
        </w:rPr>
        <w:t>年内发包人的实际损失；</w:t>
      </w:r>
    </w:p>
    <w:p>
      <w:pPr>
        <w:widowControl w:val="0"/>
        <w:spacing w:line="380" w:lineRule="exact"/>
        <w:ind w:firstLine="480" w:firstLineChars="200"/>
        <w:contextualSpacing/>
        <w:jc w:val="left"/>
        <w:rPr>
          <w:rFonts w:ascii="Times New Roman" w:hAnsi="Times New Roman" w:eastAsia="宋体" w:cs="Times New Roman"/>
          <w:bCs/>
          <w:i w:val="0"/>
          <w:iCs w:val="0"/>
          <w:color w:val="auto"/>
          <w:sz w:val="24"/>
          <w:szCs w:val="24"/>
          <w:highlight w:val="none"/>
          <w:lang w:val="zh-CN" w:eastAsia="zh-CN" w:bidi="zh-CN"/>
        </w:rPr>
      </w:pPr>
      <w:r>
        <w:rPr>
          <w:rFonts w:hint="default" w:ascii="Times New Roman" w:hAnsi="Times New Roman" w:eastAsia="宋体" w:cs="Times New Roman"/>
          <w:bCs/>
          <w:i w:val="0"/>
          <w:iCs w:val="0"/>
          <w:color w:val="auto"/>
          <w:sz w:val="24"/>
          <w:szCs w:val="24"/>
          <w:highlight w:val="none"/>
          <w:lang w:val="zh-CN" w:eastAsia="zh-CN" w:bidi="zh-CN"/>
        </w:rPr>
        <w:t>3</w:t>
      </w:r>
      <w:r>
        <w:rPr>
          <w:rFonts w:hint="default" w:ascii="Times New Roman" w:hAnsi="Times New Roman" w:cs="Times New Roman"/>
          <w:bCs/>
          <w:i w:val="0"/>
          <w:iCs w:val="0"/>
          <w:color w:val="auto"/>
          <w:sz w:val="24"/>
          <w:szCs w:val="24"/>
          <w:highlight w:val="none"/>
          <w:lang w:val="zh-CN" w:eastAsia="zh-CN" w:bidi="zh-CN"/>
        </w:rPr>
        <w:t>.</w:t>
      </w:r>
      <w:r>
        <w:rPr>
          <w:rFonts w:hint="default" w:ascii="Times New Roman" w:hAnsi="Times New Roman" w:eastAsia="宋体" w:cs="Times New Roman"/>
          <w:bCs/>
          <w:i w:val="0"/>
          <w:iCs w:val="0"/>
          <w:color w:val="auto"/>
          <w:sz w:val="24"/>
          <w:szCs w:val="24"/>
          <w:highlight w:val="none"/>
          <w:lang w:val="zh-CN" w:eastAsia="zh-CN" w:bidi="zh-CN"/>
        </w:rPr>
        <w:t>承包人按以下约定支付违约金：合同设备性能保证值负偏差</w:t>
      </w:r>
      <w:r>
        <w:rPr>
          <w:rFonts w:ascii="Times New Roman" w:hAnsi="Times New Roman" w:eastAsia="宋体" w:cs="Times New Roman"/>
          <w:bCs/>
          <w:i w:val="0"/>
          <w:iCs w:val="0"/>
          <w:color w:val="auto"/>
          <w:sz w:val="24"/>
          <w:szCs w:val="24"/>
          <w:highlight w:val="none"/>
          <w:u w:val="none"/>
          <w:lang w:val="zh-CN" w:eastAsia="zh-CN" w:bidi="zh-CN"/>
        </w:rPr>
        <w:t>1</w:t>
      </w:r>
      <w:r>
        <w:rPr>
          <w:rFonts w:hint="default" w:ascii="Times New Roman" w:hAnsi="Times New Roman" w:eastAsia="宋体" w:cs="Times New Roman"/>
          <w:bCs/>
          <w:i w:val="0"/>
          <w:iCs w:val="0"/>
          <w:color w:val="auto"/>
          <w:sz w:val="24"/>
          <w:szCs w:val="24"/>
          <w:highlight w:val="none"/>
          <w:lang w:val="zh-CN" w:eastAsia="zh-CN" w:bidi="zh-CN"/>
        </w:rPr>
        <w:t>％，支付合同设备价格</w:t>
      </w:r>
      <w:r>
        <w:rPr>
          <w:rFonts w:ascii="Times New Roman" w:hAnsi="Times New Roman" w:eastAsia="宋体" w:cs="Times New Roman"/>
          <w:bCs/>
          <w:i w:val="0"/>
          <w:iCs w:val="0"/>
          <w:color w:val="auto"/>
          <w:sz w:val="24"/>
          <w:szCs w:val="24"/>
          <w:highlight w:val="none"/>
          <w:u w:val="none"/>
          <w:lang w:val="zh-CN" w:eastAsia="zh-CN" w:bidi="zh-CN"/>
        </w:rPr>
        <w:t>2</w:t>
      </w:r>
      <w:r>
        <w:rPr>
          <w:rFonts w:hint="default" w:ascii="Times New Roman" w:hAnsi="Times New Roman" w:eastAsia="宋体" w:cs="Times New Roman"/>
          <w:bCs/>
          <w:i w:val="0"/>
          <w:iCs w:val="0"/>
          <w:color w:val="auto"/>
          <w:sz w:val="24"/>
          <w:szCs w:val="24"/>
          <w:highlight w:val="none"/>
          <w:lang w:val="zh-CN" w:eastAsia="zh-CN" w:bidi="zh-CN"/>
        </w:rPr>
        <w:t>％的违约金。如果合同附件中的违约金比率和金额低于本条约定的，以本条约定为准；如果合同附件中的违约金比率和金额高于本条约定的，以附件中的违约金比率和金额为准。</w:t>
      </w:r>
    </w:p>
    <w:p>
      <w:pPr>
        <w:widowControl w:val="0"/>
        <w:spacing w:line="380" w:lineRule="exact"/>
        <w:ind w:left="0" w:firstLine="480" w:firstLineChars="200"/>
        <w:contextualSpacing/>
        <w:jc w:val="left"/>
        <w:rPr>
          <w:rFonts w:ascii="Times New Roman" w:hAnsi="Times New Roman" w:eastAsia="宋体" w:cs="Times New Roman"/>
          <w:bCs/>
          <w:i w:val="0"/>
          <w:iCs w:val="0"/>
          <w:color w:val="auto"/>
          <w:sz w:val="24"/>
          <w:szCs w:val="24"/>
          <w:highlight w:val="none"/>
          <w:lang w:val="zh-CN" w:eastAsia="zh-CN" w:bidi="zh-CN"/>
        </w:rPr>
      </w:pPr>
      <w:r>
        <w:rPr>
          <w:rFonts w:hint="default" w:ascii="Times New Roman" w:hAnsi="Times New Roman" w:eastAsia="宋体" w:cs="Times New Roman"/>
          <w:bCs/>
          <w:i w:val="0"/>
          <w:iCs w:val="0"/>
          <w:color w:val="auto"/>
          <w:sz w:val="24"/>
          <w:szCs w:val="24"/>
          <w:highlight w:val="none"/>
          <w:lang w:val="zh-CN" w:eastAsia="zh-CN" w:bidi="zh-CN"/>
        </w:rPr>
        <w:t>（</w:t>
      </w:r>
      <w:r>
        <w:rPr>
          <w:rFonts w:hint="eastAsia" w:cs="Times New Roman"/>
          <w:bCs/>
          <w:i w:val="0"/>
          <w:iCs w:val="0"/>
          <w:color w:val="auto"/>
          <w:sz w:val="24"/>
          <w:szCs w:val="24"/>
          <w:highlight w:val="none"/>
          <w:lang w:val="en-US" w:eastAsia="zh-CN" w:bidi="zh-CN"/>
        </w:rPr>
        <w:t>3</w:t>
      </w:r>
      <w:r>
        <w:rPr>
          <w:rFonts w:hint="default" w:ascii="Times New Roman" w:hAnsi="Times New Roman" w:eastAsia="宋体" w:cs="Times New Roman"/>
          <w:bCs/>
          <w:i w:val="0"/>
          <w:iCs w:val="0"/>
          <w:color w:val="auto"/>
          <w:sz w:val="24"/>
          <w:szCs w:val="24"/>
          <w:highlight w:val="none"/>
          <w:lang w:val="zh-CN" w:eastAsia="zh-CN" w:bidi="zh-CN"/>
        </w:rPr>
        <w:t>）迟延交货违约责任</w:t>
      </w:r>
    </w:p>
    <w:p>
      <w:pPr>
        <w:widowControl w:val="0"/>
        <w:spacing w:line="380" w:lineRule="exact"/>
        <w:ind w:firstLine="480" w:firstLineChars="200"/>
        <w:contextualSpacing/>
        <w:jc w:val="left"/>
        <w:rPr>
          <w:rFonts w:ascii="Times New Roman" w:hAnsi="Times New Roman" w:eastAsia="宋体" w:cs="Times New Roman"/>
          <w:bCs/>
          <w:i w:val="0"/>
          <w:iCs w:val="0"/>
          <w:color w:val="auto"/>
          <w:sz w:val="24"/>
          <w:szCs w:val="24"/>
          <w:highlight w:val="none"/>
          <w:lang w:val="zh-CN" w:eastAsia="zh-CN" w:bidi="zh-CN"/>
        </w:rPr>
      </w:pPr>
      <w:r>
        <w:rPr>
          <w:rFonts w:hint="default" w:ascii="Times New Roman" w:hAnsi="Times New Roman" w:eastAsia="宋体" w:cs="Times New Roman"/>
          <w:bCs/>
          <w:i w:val="0"/>
          <w:iCs w:val="0"/>
          <w:color w:val="auto"/>
          <w:sz w:val="24"/>
          <w:szCs w:val="24"/>
          <w:highlight w:val="none"/>
          <w:lang w:val="zh-CN" w:eastAsia="zh-CN" w:bidi="zh-CN"/>
        </w:rPr>
        <w:t>承包人违反合同约定迟延交货的，每迟交一周应向发包人支付迟交合同设备价格的</w:t>
      </w:r>
      <w:r>
        <w:rPr>
          <w:rFonts w:hint="default" w:ascii="Times New Roman" w:hAnsi="Times New Roman" w:eastAsia="宋体" w:cs="Times New Roman"/>
          <w:bCs/>
          <w:i w:val="0"/>
          <w:iCs w:val="0"/>
          <w:color w:val="auto"/>
          <w:sz w:val="24"/>
          <w:szCs w:val="24"/>
          <w:highlight w:val="none"/>
          <w:u w:val="none"/>
          <w:lang w:val="en-US" w:eastAsia="zh-CN" w:bidi="zh-CN"/>
        </w:rPr>
        <w:t>4</w:t>
      </w:r>
      <w:r>
        <w:rPr>
          <w:rFonts w:hint="default" w:ascii="Times New Roman" w:hAnsi="Times New Roman" w:eastAsia="宋体" w:cs="Times New Roman"/>
          <w:bCs/>
          <w:i w:val="0"/>
          <w:iCs w:val="0"/>
          <w:color w:val="auto"/>
          <w:sz w:val="24"/>
          <w:szCs w:val="24"/>
          <w:highlight w:val="none"/>
          <w:lang w:val="zh-CN" w:eastAsia="zh-CN" w:bidi="zh-CN"/>
        </w:rPr>
        <w:t>‰的违约金，不足一周按比例计算。迟延交货达到</w:t>
      </w:r>
      <w:r>
        <w:rPr>
          <w:rFonts w:hint="default" w:ascii="Times New Roman" w:hAnsi="Times New Roman" w:eastAsia="宋体" w:cs="Times New Roman"/>
          <w:bCs/>
          <w:i w:val="0"/>
          <w:iCs w:val="0"/>
          <w:color w:val="auto"/>
          <w:sz w:val="24"/>
          <w:szCs w:val="24"/>
          <w:highlight w:val="none"/>
          <w:u w:val="none"/>
          <w:lang w:val="zh-CN" w:eastAsia="zh-CN" w:bidi="zh-CN"/>
        </w:rPr>
        <w:t>2</w:t>
      </w:r>
      <w:r>
        <w:rPr>
          <w:rFonts w:hint="default" w:ascii="Times New Roman" w:hAnsi="Times New Roman" w:eastAsia="宋体" w:cs="Times New Roman"/>
          <w:bCs/>
          <w:i w:val="0"/>
          <w:iCs w:val="0"/>
          <w:color w:val="auto"/>
          <w:sz w:val="24"/>
          <w:szCs w:val="24"/>
          <w:highlight w:val="none"/>
          <w:lang w:val="zh-CN" w:eastAsia="zh-CN" w:bidi="zh-CN"/>
        </w:rPr>
        <w:t>周的，发包人并有权单方解除合同。</w:t>
      </w:r>
    </w:p>
    <w:p>
      <w:pPr>
        <w:widowControl w:val="0"/>
        <w:spacing w:line="380" w:lineRule="exact"/>
        <w:ind w:left="0" w:firstLine="480" w:firstLineChars="200"/>
        <w:contextualSpacing/>
        <w:jc w:val="left"/>
        <w:rPr>
          <w:rFonts w:ascii="Times New Roman" w:hAnsi="Times New Roman" w:eastAsia="宋体" w:cs="Times New Roman"/>
          <w:bCs/>
          <w:i w:val="0"/>
          <w:iCs w:val="0"/>
          <w:color w:val="auto"/>
          <w:sz w:val="24"/>
          <w:szCs w:val="24"/>
          <w:highlight w:val="none"/>
          <w:lang w:val="zh-CN" w:eastAsia="zh-CN" w:bidi="zh-CN"/>
        </w:rPr>
      </w:pPr>
      <w:r>
        <w:rPr>
          <w:rFonts w:hint="default" w:ascii="Times New Roman" w:hAnsi="Times New Roman" w:eastAsia="宋体" w:cs="Times New Roman"/>
          <w:bCs/>
          <w:i w:val="0"/>
          <w:iCs w:val="0"/>
          <w:color w:val="auto"/>
          <w:sz w:val="24"/>
          <w:szCs w:val="24"/>
          <w:highlight w:val="none"/>
          <w:lang w:val="zh-CN" w:eastAsia="zh-CN" w:bidi="zh-CN"/>
        </w:rPr>
        <w:t>（</w:t>
      </w:r>
      <w:r>
        <w:rPr>
          <w:rFonts w:hint="eastAsia" w:cs="Times New Roman"/>
          <w:bCs/>
          <w:i w:val="0"/>
          <w:iCs w:val="0"/>
          <w:color w:val="auto"/>
          <w:sz w:val="24"/>
          <w:szCs w:val="24"/>
          <w:highlight w:val="none"/>
          <w:lang w:val="en-US" w:eastAsia="zh-CN" w:bidi="zh-CN"/>
        </w:rPr>
        <w:t>4</w:t>
      </w:r>
      <w:r>
        <w:rPr>
          <w:rFonts w:hint="default" w:ascii="Times New Roman" w:hAnsi="Times New Roman" w:eastAsia="宋体" w:cs="Times New Roman"/>
          <w:bCs/>
          <w:i w:val="0"/>
          <w:iCs w:val="0"/>
          <w:color w:val="auto"/>
          <w:sz w:val="24"/>
          <w:szCs w:val="24"/>
          <w:highlight w:val="none"/>
          <w:lang w:val="zh-CN" w:eastAsia="zh-CN" w:bidi="zh-CN"/>
        </w:rPr>
        <w:t>）迟延完工违约责任</w:t>
      </w:r>
    </w:p>
    <w:p>
      <w:pPr>
        <w:widowControl w:val="0"/>
        <w:spacing w:line="380" w:lineRule="exact"/>
        <w:ind w:firstLine="480" w:firstLineChars="200"/>
        <w:contextualSpacing/>
        <w:jc w:val="left"/>
        <w:rPr>
          <w:rFonts w:ascii="Times New Roman" w:hAnsi="Times New Roman" w:eastAsia="宋体" w:cs="Times New Roman"/>
          <w:bCs/>
          <w:i w:val="0"/>
          <w:iCs w:val="0"/>
          <w:color w:val="auto"/>
          <w:sz w:val="24"/>
          <w:szCs w:val="24"/>
          <w:highlight w:val="none"/>
          <w:lang w:val="zh-CN" w:eastAsia="zh-CN" w:bidi="zh-CN"/>
        </w:rPr>
      </w:pPr>
      <w:r>
        <w:rPr>
          <w:rFonts w:hint="default" w:ascii="Times New Roman" w:hAnsi="Times New Roman" w:eastAsia="宋体" w:cs="Times New Roman"/>
          <w:bCs/>
          <w:i w:val="0"/>
          <w:iCs w:val="0"/>
          <w:color w:val="auto"/>
          <w:sz w:val="24"/>
          <w:szCs w:val="24"/>
          <w:highlight w:val="none"/>
          <w:lang w:val="zh-CN" w:eastAsia="zh-CN" w:bidi="zh-CN"/>
        </w:rPr>
        <w:t>项目未能按时通过初步验收的，每延迟一天承包人应向发包人支付相当于合同总价</w:t>
      </w:r>
      <w:r>
        <w:rPr>
          <w:rFonts w:ascii="Times New Roman" w:hAnsi="Times New Roman" w:eastAsia="宋体" w:cs="Times New Roman"/>
          <w:bCs/>
          <w:color w:val="auto"/>
          <w:sz w:val="24"/>
          <w:highlight w:val="none"/>
          <w:u w:val="none"/>
          <w:lang w:val="zh-CN" w:eastAsia="zh-CN" w:bidi="zh-CN"/>
        </w:rPr>
        <w:t>1</w:t>
      </w:r>
      <w:r>
        <w:rPr>
          <w:rFonts w:ascii="Times New Roman" w:hAnsi="Times New Roman" w:eastAsia="宋体" w:cs="Times New Roman"/>
          <w:bCs/>
          <w:color w:val="auto"/>
          <w:sz w:val="24"/>
          <w:highlight w:val="none"/>
          <w:lang w:val="zh-CN" w:eastAsia="zh-CN" w:bidi="zh-CN"/>
        </w:rPr>
        <w:t xml:space="preserve">% </w:t>
      </w:r>
      <w:r>
        <w:rPr>
          <w:rFonts w:hint="default" w:ascii="Times New Roman" w:hAnsi="Times New Roman" w:eastAsia="宋体" w:cs="Times New Roman"/>
          <w:bCs/>
          <w:i w:val="0"/>
          <w:iCs w:val="0"/>
          <w:color w:val="auto"/>
          <w:sz w:val="24"/>
          <w:szCs w:val="24"/>
          <w:highlight w:val="none"/>
          <w:lang w:val="zh-CN" w:eastAsia="zh-CN" w:bidi="zh-CN"/>
        </w:rPr>
        <w:t>的违约金。迟延完工达到</w:t>
      </w:r>
      <w:r>
        <w:rPr>
          <w:rFonts w:hint="default" w:ascii="Times New Roman" w:hAnsi="Times New Roman" w:eastAsia="宋体" w:cs="Times New Roman"/>
          <w:bCs/>
          <w:i w:val="0"/>
          <w:iCs w:val="0"/>
          <w:color w:val="auto"/>
          <w:sz w:val="24"/>
          <w:szCs w:val="24"/>
          <w:highlight w:val="none"/>
          <w:u w:val="none"/>
          <w:lang w:val="zh-CN" w:eastAsia="zh-CN" w:bidi="zh-CN"/>
        </w:rPr>
        <w:t>1</w:t>
      </w:r>
      <w:r>
        <w:rPr>
          <w:rFonts w:hint="default" w:ascii="Times New Roman" w:hAnsi="Times New Roman" w:eastAsia="宋体" w:cs="Times New Roman"/>
          <w:bCs/>
          <w:i w:val="0"/>
          <w:iCs w:val="0"/>
          <w:color w:val="auto"/>
          <w:sz w:val="24"/>
          <w:szCs w:val="24"/>
          <w:highlight w:val="none"/>
          <w:u w:val="none"/>
          <w:lang w:val="en-US" w:eastAsia="zh-CN" w:bidi="zh-CN"/>
        </w:rPr>
        <w:t>5</w:t>
      </w:r>
      <w:r>
        <w:rPr>
          <w:rFonts w:hint="default" w:ascii="Times New Roman" w:hAnsi="Times New Roman" w:eastAsia="宋体" w:cs="Times New Roman"/>
          <w:bCs/>
          <w:i w:val="0"/>
          <w:iCs w:val="0"/>
          <w:color w:val="auto"/>
          <w:sz w:val="24"/>
          <w:szCs w:val="24"/>
          <w:highlight w:val="none"/>
          <w:lang w:val="zh-CN" w:eastAsia="zh-CN" w:bidi="zh-CN"/>
        </w:rPr>
        <w:t>天的，发包人并有权单方解除合同，并要求承包人支付合同总价</w:t>
      </w:r>
      <w:r>
        <w:rPr>
          <w:rFonts w:hint="default" w:ascii="Times New Roman" w:hAnsi="Times New Roman" w:eastAsia="宋体" w:cs="Times New Roman"/>
          <w:bCs/>
          <w:i w:val="0"/>
          <w:iCs w:val="0"/>
          <w:color w:val="auto"/>
          <w:sz w:val="24"/>
          <w:szCs w:val="24"/>
          <w:highlight w:val="none"/>
          <w:u w:val="none"/>
          <w:lang w:val="zh-CN" w:eastAsia="zh-CN" w:bidi="zh-CN"/>
        </w:rPr>
        <w:t>5</w:t>
      </w:r>
      <w:r>
        <w:rPr>
          <w:rFonts w:hint="default" w:ascii="Times New Roman" w:hAnsi="Times New Roman" w:eastAsia="宋体" w:cs="Times New Roman"/>
          <w:bCs/>
          <w:i w:val="0"/>
          <w:iCs w:val="0"/>
          <w:color w:val="auto"/>
          <w:sz w:val="24"/>
          <w:szCs w:val="24"/>
          <w:highlight w:val="none"/>
          <w:lang w:val="zh-CN" w:eastAsia="zh-CN" w:bidi="zh-CN"/>
        </w:rPr>
        <w:t>%的违约金。</w:t>
      </w:r>
    </w:p>
    <w:p>
      <w:pPr>
        <w:keepNext w:val="0"/>
        <w:keepLines w:val="0"/>
        <w:pageBreakBefore w:val="0"/>
        <w:widowControl w:val="0"/>
        <w:kinsoku/>
        <w:wordWrap/>
        <w:overflowPunct/>
        <w:topLinePunct w:val="0"/>
        <w:autoSpaceDE/>
        <w:autoSpaceDN/>
        <w:bidi w:val="0"/>
        <w:adjustRightInd/>
        <w:snapToGrid/>
        <w:spacing w:line="380" w:lineRule="exact"/>
        <w:ind w:firstLine="482" w:firstLineChars="200"/>
        <w:contextualSpacing/>
        <w:textAlignment w:val="auto"/>
        <w:rPr>
          <w:rFonts w:hint="default" w:ascii="Times New Roman" w:hAnsi="Times New Roman" w:cs="Times New Roman"/>
          <w:b w:val="0"/>
          <w:bCs/>
          <w:color w:val="auto"/>
          <w:sz w:val="24"/>
          <w:highlight w:val="none"/>
          <w:lang w:val="en-US" w:eastAsia="zh-CN"/>
        </w:rPr>
      </w:pPr>
      <w:r>
        <w:rPr>
          <w:rFonts w:hint="default" w:ascii="Times New Roman" w:hAnsi="Times New Roman" w:eastAsia="宋体" w:cs="Times New Roman"/>
          <w:b/>
          <w:color w:val="auto"/>
          <w:sz w:val="24"/>
          <w:highlight w:val="none"/>
          <w:lang w:val="en-US" w:eastAsia="zh-CN"/>
        </w:rPr>
        <w:t>6</w:t>
      </w:r>
      <w:r>
        <w:rPr>
          <w:rFonts w:hint="default" w:ascii="Times New Roman" w:hAnsi="Times New Roman" w:cs="Times New Roman"/>
          <w:b/>
          <w:color w:val="auto"/>
          <w:sz w:val="24"/>
          <w:highlight w:val="none"/>
          <w:lang w:val="en-US" w:eastAsia="zh-CN"/>
        </w:rPr>
        <w:t>.</w:t>
      </w:r>
      <w:r>
        <w:rPr>
          <w:rFonts w:hint="default" w:ascii="Times New Roman" w:hAnsi="Times New Roman" w:eastAsia="宋体" w:cs="Times New Roman"/>
          <w:b/>
          <w:color w:val="auto"/>
          <w:sz w:val="24"/>
          <w:highlight w:val="none"/>
        </w:rPr>
        <w:t>争议解决：</w:t>
      </w:r>
      <w:r>
        <w:rPr>
          <w:rFonts w:hint="default" w:ascii="Times New Roman" w:hAnsi="Times New Roman" w:cs="Times New Roman"/>
          <w:b w:val="0"/>
          <w:bCs/>
          <w:color w:val="auto"/>
          <w:sz w:val="24"/>
          <w:highlight w:val="none"/>
          <w:lang w:val="en-US" w:eastAsia="zh-CN"/>
        </w:rPr>
        <w:t>凡发生因本合同引起的或与本合同有关的任何争议，双方首先应通过友好协商解决。若争议经协商仍无法解决的，向发包人住所地人民法院提起诉讼。</w:t>
      </w:r>
    </w:p>
    <w:p>
      <w:pPr>
        <w:keepNext w:val="0"/>
        <w:keepLines w:val="0"/>
        <w:pageBreakBefore w:val="0"/>
        <w:widowControl w:val="0"/>
        <w:kinsoku/>
        <w:wordWrap/>
        <w:overflowPunct/>
        <w:topLinePunct w:val="0"/>
        <w:autoSpaceDE/>
        <w:autoSpaceDN/>
        <w:bidi w:val="0"/>
        <w:adjustRightInd/>
        <w:snapToGrid/>
        <w:spacing w:line="380" w:lineRule="exact"/>
        <w:ind w:firstLine="482" w:firstLineChars="200"/>
        <w:contextualSpacing/>
        <w:textAlignment w:val="auto"/>
        <w:rPr>
          <w:rFonts w:hint="default" w:ascii="Times New Roman" w:hAnsi="Times New Roman" w:eastAsia="宋体" w:cs="Times New Roman"/>
          <w:b w:val="0"/>
          <w:bCs/>
          <w:color w:val="auto"/>
          <w:sz w:val="24"/>
          <w:highlight w:val="none"/>
        </w:rPr>
      </w:pPr>
      <w:r>
        <w:rPr>
          <w:rFonts w:hint="default" w:ascii="Times New Roman" w:hAnsi="Times New Roman" w:eastAsia="宋体" w:cs="Times New Roman"/>
          <w:b/>
          <w:color w:val="auto"/>
          <w:sz w:val="24"/>
          <w:highlight w:val="none"/>
          <w:lang w:val="en-US" w:eastAsia="zh-CN"/>
        </w:rPr>
        <w:t>7</w:t>
      </w:r>
      <w:r>
        <w:rPr>
          <w:rFonts w:hint="default" w:ascii="Times New Roman" w:hAnsi="Times New Roman" w:eastAsia="宋体" w:cs="Times New Roman"/>
          <w:b/>
          <w:color w:val="auto"/>
          <w:sz w:val="24"/>
          <w:highlight w:val="none"/>
        </w:rPr>
        <w:t>.生效条款：</w:t>
      </w:r>
      <w:r>
        <w:rPr>
          <w:rFonts w:hint="default" w:ascii="Times New Roman" w:hAnsi="Times New Roman" w:eastAsia="宋体" w:cs="Times New Roman"/>
          <w:b w:val="0"/>
          <w:bCs/>
          <w:color w:val="auto"/>
          <w:sz w:val="24"/>
          <w:highlight w:val="none"/>
        </w:rPr>
        <w:t>（1）合同协议书经双方法定代表人（负责人）或其授权代表签字并加盖单位公章或合同专用章；（2）若承包人提供的履约保证金为银行履约保函，承包人无法在合同签订前开具履约保函的，合同需在履约保函提交后生效。</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contextualSpacing/>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除上述条款外，该合同无其他重要条款。</w:t>
      </w:r>
    </w:p>
    <w:p>
      <w:pPr>
        <w:keepNext w:val="0"/>
        <w:keepLines w:val="0"/>
        <w:pageBreakBefore w:val="0"/>
        <w:widowControl w:val="0"/>
        <w:kinsoku/>
        <w:wordWrap/>
        <w:overflowPunct/>
        <w:topLinePunct w:val="0"/>
        <w:autoSpaceDE/>
        <w:autoSpaceDN/>
        <w:bidi w:val="0"/>
        <w:adjustRightInd/>
        <w:snapToGrid/>
        <w:spacing w:line="380" w:lineRule="exact"/>
        <w:ind w:firstLine="482" w:firstLineChars="200"/>
        <w:contextualSpacing/>
        <w:textAlignment w:val="auto"/>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三、其他</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contextualSpacing/>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公司将就上述</w:t>
      </w:r>
      <w:r>
        <w:rPr>
          <w:rFonts w:hint="default" w:ascii="Times New Roman" w:hAnsi="Times New Roman" w:eastAsia="宋体" w:cs="Times New Roman"/>
          <w:color w:val="auto"/>
          <w:sz w:val="24"/>
          <w:highlight w:val="none"/>
          <w:lang w:eastAsia="zh-CN"/>
        </w:rPr>
        <w:t>关联交易</w:t>
      </w:r>
      <w:r>
        <w:rPr>
          <w:rFonts w:hint="default" w:ascii="Times New Roman" w:hAnsi="Times New Roman" w:eastAsia="宋体" w:cs="Times New Roman"/>
          <w:color w:val="auto"/>
          <w:sz w:val="24"/>
          <w:highlight w:val="none"/>
        </w:rPr>
        <w:t>进展情况履行持续信息披露义务。</w:t>
      </w:r>
    </w:p>
    <w:p>
      <w:pPr>
        <w:keepNext w:val="0"/>
        <w:keepLines w:val="0"/>
        <w:pageBreakBefore w:val="0"/>
        <w:widowControl w:val="0"/>
        <w:kinsoku/>
        <w:wordWrap/>
        <w:overflowPunct/>
        <w:topLinePunct w:val="0"/>
        <w:autoSpaceDE/>
        <w:autoSpaceDN/>
        <w:bidi w:val="0"/>
        <w:adjustRightInd/>
        <w:snapToGrid/>
        <w:spacing w:line="380" w:lineRule="exact"/>
        <w:ind w:firstLine="482" w:firstLineChars="200"/>
        <w:contextualSpacing/>
        <w:textAlignment w:val="auto"/>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四、备查文件</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contextualSpacing/>
        <w:textAlignment w:val="auto"/>
        <w:rPr>
          <w:rFonts w:hint="default" w:ascii="Times New Roman" w:hAnsi="Times New Roman" w:cs="Times New Roman"/>
          <w:color w:val="auto"/>
          <w:sz w:val="24"/>
          <w:highlight w:val="none"/>
          <w:lang w:eastAsia="zh-CN"/>
        </w:rPr>
      </w:pPr>
      <w:r>
        <w:rPr>
          <w:rFonts w:hint="default" w:ascii="Times New Roman" w:hAnsi="Times New Roman" w:eastAsia="宋体" w:cs="Times New Roman"/>
          <w:color w:val="auto"/>
          <w:kern w:val="2"/>
          <w:sz w:val="24"/>
          <w:szCs w:val="24"/>
          <w:highlight w:val="none"/>
          <w:lang w:val="en-US" w:eastAsia="zh-CN" w:bidi="ar-SA"/>
        </w:rPr>
        <w:t>《长源电力青山热电脱硫废水深度治理EPC工程合同</w:t>
      </w:r>
      <w:r>
        <w:rPr>
          <w:rFonts w:hint="default" w:ascii="Times New Roman" w:hAnsi="Times New Roman" w:cs="Times New Roman"/>
          <w:color w:val="auto"/>
          <w:kern w:val="2"/>
          <w:sz w:val="24"/>
          <w:szCs w:val="24"/>
          <w:highlight w:val="none"/>
          <w:lang w:val="en-US" w:eastAsia="zh-CN" w:bidi="ar-SA"/>
        </w:rPr>
        <w:t>》</w:t>
      </w:r>
      <w:r>
        <w:rPr>
          <w:rFonts w:hint="default" w:ascii="Times New Roman" w:hAnsi="Times New Roman" w:cs="Times New Roman"/>
          <w:color w:val="auto"/>
          <w:sz w:val="24"/>
          <w:highlight w:val="none"/>
          <w:lang w:eastAsia="zh-CN"/>
        </w:rPr>
        <w:t>。</w:t>
      </w:r>
    </w:p>
    <w:p>
      <w:pPr>
        <w:keepNext w:val="0"/>
        <w:keepLines w:val="0"/>
        <w:pageBreakBefore w:val="0"/>
        <w:widowControl/>
        <w:kinsoku/>
        <w:wordWrap/>
        <w:overflowPunct/>
        <w:topLinePunct w:val="0"/>
        <w:autoSpaceDE/>
        <w:autoSpaceDN/>
        <w:bidi w:val="0"/>
        <w:adjustRightInd/>
        <w:snapToGrid/>
        <w:spacing w:line="380" w:lineRule="exact"/>
        <w:ind w:firstLine="0" w:firstLineChars="0"/>
        <w:jc w:val="both"/>
        <w:textAlignment w:val="auto"/>
        <w:rPr>
          <w:rFonts w:hint="default" w:ascii="Times New Roman" w:hAnsi="Times New Roman" w:eastAsia="宋体" w:cs="Times New Roman"/>
          <w:color w:val="auto"/>
          <w:sz w:val="24"/>
          <w:highlight w:val="none"/>
        </w:rPr>
      </w:pP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contextualSpacing/>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特此公告</w:t>
      </w:r>
      <w:r>
        <w:rPr>
          <w:rFonts w:hint="default" w:ascii="Times New Roman" w:hAnsi="Times New Roman" w:eastAsia="宋体" w:cs="Times New Roman"/>
          <w:color w:val="auto"/>
          <w:sz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80" w:lineRule="exact"/>
        <w:contextualSpacing/>
        <w:jc w:val="right"/>
        <w:textAlignment w:val="auto"/>
        <w:rPr>
          <w:rFonts w:hint="default" w:ascii="Times New Roman" w:hAnsi="Times New Roman" w:eastAsia="宋体" w:cs="Times New Roman"/>
          <w:color w:val="auto"/>
          <w:sz w:val="24"/>
          <w:highlight w:val="none"/>
        </w:rPr>
      </w:pPr>
      <w:r>
        <w:rPr>
          <w:rFonts w:hint="default" w:ascii="Times New Roman" w:hAnsi="Times New Roman" w:cs="Times New Roman"/>
          <w:color w:val="auto"/>
          <w:sz w:val="24"/>
          <w:highlight w:val="none"/>
          <w:lang w:val="en-US" w:eastAsia="zh-CN"/>
        </w:rPr>
        <w:t>国家能源集团</w:t>
      </w:r>
      <w:r>
        <w:rPr>
          <w:rFonts w:hint="default" w:ascii="Times New Roman" w:hAnsi="Times New Roman" w:eastAsia="宋体" w:cs="Times New Roman"/>
          <w:color w:val="auto"/>
          <w:sz w:val="24"/>
          <w:highlight w:val="none"/>
        </w:rPr>
        <w:t>长源电力股份有限公司董事会</w:t>
      </w:r>
    </w:p>
    <w:p>
      <w:pPr>
        <w:keepNext w:val="0"/>
        <w:keepLines w:val="0"/>
        <w:pageBreakBefore w:val="0"/>
        <w:widowControl w:val="0"/>
        <w:kinsoku/>
        <w:wordWrap w:val="0"/>
        <w:overflowPunct/>
        <w:topLinePunct w:val="0"/>
        <w:autoSpaceDE/>
        <w:autoSpaceDN/>
        <w:bidi w:val="0"/>
        <w:adjustRightInd/>
        <w:snapToGrid/>
        <w:spacing w:line="380" w:lineRule="exact"/>
        <w:ind w:right="720" w:firstLine="480" w:firstLineChars="200"/>
        <w:contextualSpacing/>
        <w:jc w:val="center"/>
        <w:textAlignment w:val="auto"/>
        <w:rPr>
          <w:rFonts w:hint="default" w:ascii="Times New Roman" w:hAnsi="Times New Roman" w:eastAsia="宋体" w:cs="Times New Roman"/>
          <w:color w:val="auto"/>
          <w:sz w:val="24"/>
          <w:highlight w:val="none"/>
          <w:lang w:val="en-US" w:eastAsia="zh-CN"/>
        </w:rPr>
      </w:pPr>
      <w:r>
        <w:rPr>
          <w:rFonts w:hint="default" w:ascii="Times New Roman" w:hAnsi="Times New Roman" w:cs="Times New Roman"/>
          <w:color w:val="auto"/>
          <w:sz w:val="24"/>
          <w:highlight w:val="none"/>
          <w:lang w:val="en-US" w:eastAsia="zh-CN"/>
        </w:rPr>
        <w:t xml:space="preserve">                                  2026</w:t>
      </w:r>
      <w:r>
        <w:rPr>
          <w:rFonts w:hint="default" w:ascii="Times New Roman" w:hAnsi="Times New Roman" w:eastAsia="宋体" w:cs="Times New Roman"/>
          <w:color w:val="auto"/>
          <w:sz w:val="24"/>
          <w:highlight w:val="none"/>
        </w:rPr>
        <w:t>年</w:t>
      </w:r>
      <w:r>
        <w:rPr>
          <w:rFonts w:hint="default" w:ascii="Times New Roman" w:hAnsi="Times New Roman" w:cs="Times New Roman"/>
          <w:color w:val="auto"/>
          <w:sz w:val="24"/>
          <w:highlight w:val="none"/>
          <w:lang w:val="en-US" w:eastAsia="zh-CN"/>
        </w:rPr>
        <w:t>2月</w:t>
      </w:r>
      <w:r>
        <w:rPr>
          <w:rFonts w:hint="eastAsia" w:cs="Times New Roman"/>
          <w:color w:val="auto"/>
          <w:sz w:val="24"/>
          <w:highlight w:val="none"/>
          <w:lang w:val="en-US" w:eastAsia="zh-CN"/>
        </w:rPr>
        <w:t>5</w:t>
      </w:r>
      <w:r>
        <w:rPr>
          <w:rFonts w:hint="default" w:ascii="Times New Roman" w:hAnsi="Times New Roman" w:eastAsia="宋体" w:cs="Times New Roman"/>
          <w:color w:val="auto"/>
          <w:sz w:val="24"/>
          <w:highlight w:val="none"/>
        </w:rPr>
        <w:t>日</w:t>
      </w:r>
      <w:r>
        <w:rPr>
          <w:rFonts w:hint="default" w:ascii="Times New Roman" w:hAnsi="Times New Roman" w:cs="Times New Roman"/>
          <w:color w:val="auto"/>
          <w:sz w:val="24"/>
          <w:highlight w:val="none"/>
          <w:lang w:val="en-US" w:eastAsia="zh-CN"/>
        </w:rPr>
        <w:t xml:space="preserve"> </w:t>
      </w:r>
    </w:p>
    <w:p>
      <w:pPr>
        <w:rPr>
          <w:rFonts w:hint="default" w:ascii="Times New Roman" w:hAnsi="Times New Roman" w:cs="Times New Roman"/>
          <w:highlight w:val="none"/>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F47040"/>
    <w:rsid w:val="334414DC"/>
    <w:rsid w:val="3EA34894"/>
    <w:rsid w:val="3F5E202F"/>
    <w:rsid w:val="474E5ED1"/>
    <w:rsid w:val="55FF5511"/>
    <w:rsid w:val="5772711C"/>
    <w:rsid w:val="68A12A77"/>
    <w:rsid w:val="6D8D50E5"/>
    <w:rsid w:val="7A366D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6" w:lineRule="auto"/>
      <w:jc w:val="center"/>
      <w:outlineLvl w:val="1"/>
    </w:pPr>
    <w:rPr>
      <w:rFonts w:ascii="Arial" w:hAnsi="Arial" w:eastAsia="黑体"/>
      <w:b/>
      <w:bCs/>
      <w:sz w:val="32"/>
      <w:szCs w:val="3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customStyle="1" w:styleId="5">
    <w:name w:val="NormalCharacter"/>
    <w:qFormat/>
    <w:uiPriority w:val="0"/>
    <w:rPr>
      <w:rFonts w:ascii="Times New Roman" w:hAnsi="Times New Roman" w:eastAsia="宋体" w:cs="Times New Roman"/>
      <w:kern w:val="2"/>
      <w:sz w:val="21"/>
      <w:szCs w:val="24"/>
      <w:lang w:val="en-US" w:eastAsia="zh-CN" w:bidi="ar-SA"/>
    </w:rPr>
  </w:style>
  <w:style w:type="paragraph" w:customStyle="1" w:styleId="6">
    <w:name w:val="引言二级条标题"/>
    <w:basedOn w:val="7"/>
    <w:next w:val="8"/>
    <w:qFormat/>
    <w:uiPriority w:val="99"/>
    <w:pPr>
      <w:tabs>
        <w:tab w:val="left" w:pos="1140"/>
      </w:tabs>
    </w:pPr>
  </w:style>
  <w:style w:type="paragraph" w:customStyle="1" w:styleId="7">
    <w:name w:val="引言一级条标题"/>
    <w:basedOn w:val="1"/>
    <w:next w:val="8"/>
    <w:qFormat/>
    <w:uiPriority w:val="99"/>
    <w:pPr>
      <w:tabs>
        <w:tab w:val="left" w:pos="1140"/>
      </w:tabs>
    </w:pPr>
    <w:rPr>
      <w:rFonts w:eastAsia="黑体"/>
      <w:b/>
      <w:bCs/>
      <w:szCs w:val="21"/>
    </w:rPr>
  </w:style>
  <w:style w:type="paragraph" w:customStyle="1" w:styleId="8">
    <w:name w:val="段"/>
    <w:qFormat/>
    <w:uiPriority w:val="0"/>
    <w:pPr>
      <w:tabs>
        <w:tab w:val="left" w:pos="840"/>
        <w:tab w:val="left" w:pos="982"/>
      </w:tabs>
      <w:autoSpaceDE w:val="0"/>
      <w:autoSpaceDN w:val="0"/>
      <w:jc w:val="both"/>
    </w:pPr>
    <w:rPr>
      <w:rFonts w:ascii="宋体" w:hAnsi="Times New Roman" w:eastAsia="宋体" w:cs="Times New Roman"/>
      <w:sz w:val="21"/>
      <w:szCs w:val="22"/>
      <w:lang w:val="en-US" w:eastAsia="zh-CN" w:bidi="ar-SA"/>
    </w:rPr>
  </w:style>
  <w:style w:type="paragraph" w:customStyle="1" w:styleId="9">
    <w:name w:val="Text"/>
    <w:qFormat/>
    <w:uiPriority w:val="0"/>
    <w:pPr>
      <w:spacing w:line="315" w:lineRule="auto"/>
      <w:jc w:val="left"/>
    </w:pPr>
    <w:rPr>
      <w:rFonts w:ascii="宋体" w:hAnsi="宋体" w:eastAsia="宋体" w:cs="宋体"/>
      <w:color w:val="000000"/>
      <w:sz w:val="21"/>
      <w:lang w:val="en-US" w:eastAsia="en-U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9</TotalTime>
  <ScaleCrop>false</ScaleCrop>
  <LinksUpToDate>false</LinksUpToDate>
  <CharactersWithSpaces>0</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2025-12-16T03:23:00Z</dcterms:created>
  <dc:creator>admin</dc:creator>
  <cp:lastModifiedBy>刘硕02</cp:lastModifiedBy>
  <dcterms:modified xsi:type="dcterms:W3CDTF">2026-02-04T06:32:54Z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39DB1B62CF5743489989AEC7BFBD11AB</vt:lpwstr>
  </property>
</Properties>
</file>