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24"/>
          <w:szCs w:val="24"/>
        </w:rPr>
        <w:t xml:space="preserve">证券代码：000966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      证券简称：长源电力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        公告编号：</w:t>
      </w:r>
      <w:r>
        <w:rPr>
          <w:rFonts w:hint="default" w:ascii="Times New Roman" w:hAnsi="Times New Roman" w:eastAsia="宋体" w:cs="Times New Roman"/>
          <w:sz w:val="24"/>
          <w:szCs w:val="24"/>
          <w:lang w:val="en-US" w:eastAsia="zh-CN"/>
        </w:rPr>
        <w:t>2026-0</w:t>
      </w:r>
      <w:r>
        <w:rPr>
          <w:rFonts w:hint="eastAsia" w:cs="Times New Roman"/>
          <w:sz w:val="24"/>
          <w:szCs w:val="24"/>
          <w:lang w:val="en-US" w:eastAsia="zh-CN"/>
        </w:rPr>
        <w:t>24</w:t>
      </w:r>
    </w:p>
    <w:p>
      <w:pPr>
        <w:spacing w:before="200" w:after="200" w:line="400" w:lineRule="exact"/>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国家能源集团长源电力股份有限公司</w:t>
      </w:r>
    </w:p>
    <w:p>
      <w:pPr>
        <w:spacing w:before="200" w:after="200" w:line="400" w:lineRule="exact"/>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2026年第一季度报告</w:t>
      </w:r>
    </w:p>
    <w:tbl>
      <w:tblPr>
        <w:tblStyle w:val="7"/>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0" w:beforeLines="0" w:after="0" w:afterLines="0" w:line="400" w:lineRule="exact"/>
              <w:ind w:firstLine="480" w:firstLineChars="200"/>
              <w:rPr>
                <w:rFonts w:hint="default" w:ascii="Times New Roman" w:hAnsi="Times New Roman" w:cs="Times New Roman"/>
                <w:color w:val="000000"/>
                <w:sz w:val="30"/>
                <w:highlight w:val="none"/>
              </w:rPr>
            </w:pPr>
            <w:r>
              <w:rPr>
                <w:rFonts w:hint="default" w:ascii="Times New Roman" w:hAnsi="Times New Roman" w:cs="Times New Roman"/>
                <w:color w:val="000000"/>
                <w:sz w:val="24"/>
                <w:highlight w:val="none"/>
              </w:rPr>
              <w:t>本公司及董事会全体成员保证信息披露的内容真实、准确、完整，没有虚假记载、误导性陈述或重大遗漏。</w:t>
            </w:r>
          </w:p>
        </w:tc>
      </w:tr>
    </w:tbl>
    <w:p>
      <w:pPr>
        <w:spacing w:before="40" w:after="40" w:line="420" w:lineRule="exact"/>
        <w:jc w:val="left"/>
        <w:rPr>
          <w:rFonts w:hint="default" w:ascii="Times New Roman" w:hAnsi="Times New Roman" w:eastAsia="宋体" w:cs="Times New Roman"/>
          <w:b/>
          <w:bCs/>
          <w:sz w:val="24"/>
          <w:szCs w:val="24"/>
        </w:rPr>
      </w:pPr>
    </w:p>
    <w:p>
      <w:pPr>
        <w:spacing w:before="40" w:after="40" w:line="420" w:lineRule="exact"/>
        <w:jc w:val="left"/>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重要内容提示：</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1.董事会及董事、高级管理人员保证季度报告的真实、准确、完整，不存在虚假记载、误导性陈述或重大遗漏，并承担个别和连带的法律责任。</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2.公司负责人、主管会计工作负责人及会计机构负责人（会计主管人员）声明：保证季度报告中财务信息的真实、准确、完整。</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3.第一季度财务会计报告是否经审计</w:t>
      </w:r>
    </w:p>
    <w:p>
      <w:pPr>
        <w:spacing w:before="100" w:after="100" w:line="4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□是 </w:t>
      </w:r>
      <w:r>
        <w:rPr>
          <w:rFonts w:hint="eastAsia" w:cs="Times New Roman"/>
          <w:sz w:val="24"/>
          <w:szCs w:val="24"/>
          <w:lang w:eastAsia="zh-CN"/>
        </w:rPr>
        <w:t>☑</w:t>
      </w:r>
      <w:r>
        <w:rPr>
          <w:rFonts w:hint="default" w:ascii="Times New Roman" w:hAnsi="Times New Roman" w:eastAsia="宋体" w:cs="Times New Roman"/>
          <w:sz w:val="24"/>
          <w:szCs w:val="24"/>
        </w:rPr>
        <w:t>否</w:t>
      </w:r>
    </w:p>
    <w:p>
      <w:pPr>
        <w:rPr>
          <w:rFonts w:hint="default" w:ascii="Times New Roman" w:hAnsi="Times New Roman" w:cs="Times New Roman"/>
        </w:rPr>
      </w:pPr>
      <w:r>
        <w:rPr>
          <w:rFonts w:hint="default" w:ascii="Times New Roman" w:hAnsi="Times New Roman" w:cs="Times New Roman"/>
        </w:rPr>
        <w:br w:type="page"/>
      </w:r>
    </w:p>
    <w:p>
      <w:pPr>
        <w:pStyle w:val="10"/>
        <w:keepNext/>
        <w:keepLines/>
        <w:spacing w:before="300" w:after="300" w:line="320" w:lineRule="exact"/>
        <w:jc w:val="left"/>
        <w:outlineLvl w:val="0"/>
        <w:rPr>
          <w:rFonts w:hint="default" w:ascii="Times New Roman" w:hAnsi="Times New Roman" w:eastAsia="宋体" w:cs="Times New Roman"/>
          <w:b/>
          <w:bCs/>
          <w:sz w:val="24"/>
          <w:szCs w:val="24"/>
        </w:rPr>
      </w:pPr>
      <w:bookmarkStart w:id="0" w:name="_Toc988889"/>
      <w:r>
        <w:rPr>
          <w:rFonts w:hint="default" w:ascii="Times New Roman" w:hAnsi="Times New Roman" w:eastAsia="宋体" w:cs="Times New Roman"/>
          <w:b/>
          <w:bCs/>
          <w:sz w:val="24"/>
          <w:szCs w:val="24"/>
        </w:rPr>
        <w:t>一、主要财务数据</w:t>
      </w:r>
      <w:bookmarkEnd w:id="0"/>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1" w:name="_Toc988890"/>
      <w:r>
        <w:rPr>
          <w:rFonts w:hint="default" w:ascii="Times New Roman" w:hAnsi="Times New Roman" w:eastAsia="宋体" w:cs="Times New Roman"/>
          <w:b/>
          <w:bCs/>
          <w:sz w:val="21"/>
          <w:szCs w:val="21"/>
        </w:rPr>
        <w:t>（一） 主要会计数据和财务指标</w:t>
      </w:r>
      <w:bookmarkEnd w:id="1"/>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公司是否需追溯调整或重述以前年度会计数据</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□是 </w:t>
      </w:r>
      <w:r>
        <w:rPr>
          <w:rFonts w:hint="eastAsia" w:cs="Times New Roman"/>
          <w:sz w:val="18"/>
          <w:szCs w:val="18"/>
          <w:lang w:eastAsia="zh-CN"/>
        </w:rPr>
        <w:t>☑</w:t>
      </w:r>
      <w:r>
        <w:rPr>
          <w:rFonts w:hint="default" w:ascii="Times New Roman" w:hAnsi="Times New Roman" w:eastAsia="宋体" w:cs="Times New Roman"/>
          <w:sz w:val="18"/>
          <w:szCs w:val="18"/>
        </w:rPr>
        <w:t>否</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3"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3,720,440,412.50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3,329,739,104.65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11.73%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104,657,664.73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-73,566,730.77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242.26%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97,966,729.63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-78,450,560.39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224.88%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187,010,689.85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890,644,163.93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-79.00%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0.0301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-0.0211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242.65%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0.0301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-0.0211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242.65%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0.78%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-0.54%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eastAsia" w:cs="Times New Roman"/>
                <w:sz w:val="18"/>
                <w:szCs w:val="18"/>
                <w:lang w:val="en-US" w:eastAsia="zh-CN"/>
              </w:rPr>
              <w:t>1.32</w:t>
            </w:r>
            <w:bookmarkStart w:id="11" w:name="_GoBack"/>
            <w:bookmarkEnd w:id="11"/>
            <w:r>
              <w:rPr>
                <w:rFonts w:ascii="Times New Roman" w:hAnsi="Times New Roman" w:eastAsia="宋体" w:cs="Times New Roman"/>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41,250,521,500.23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41,186,209,307.17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归属于上市公司股东的所有者权益（元）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13,454,763,525.10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13,320,801,398.81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ascii="Times New Roman" w:hAnsi="Times New Roman" w:eastAsia="宋体" w:cs="Times New Roman"/>
                <w:sz w:val="18"/>
                <w:szCs w:val="18"/>
              </w:rPr>
              <w:t>1.01%</w:t>
            </w:r>
          </w:p>
        </w:tc>
      </w:tr>
    </w:tbl>
    <w:p>
      <w:pPr>
        <w:spacing w:before="0" w:after="0" w:line="0" w:lineRule="exact"/>
        <w:jc w:val="left"/>
        <w:rPr>
          <w:rFonts w:hint="default" w:ascii="Times New Roman" w:hAnsi="Times New Roman" w:cs="Times New Roman"/>
        </w:rPr>
      </w:pPr>
    </w:p>
    <w:p>
      <w:pPr>
        <w:spacing w:before="0" w:after="0" w:line="0" w:lineRule="exact"/>
        <w:jc w:val="left"/>
        <w:rPr>
          <w:rFonts w:hint="default" w:ascii="Times New Roman" w:hAnsi="Times New Roman" w:cs="Times New Roman"/>
        </w:rPr>
      </w:pPr>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2" w:name="_Toc988891"/>
      <w:r>
        <w:rPr>
          <w:rFonts w:hint="default" w:ascii="Times New Roman" w:hAnsi="Times New Roman" w:eastAsia="宋体" w:cs="Times New Roman"/>
          <w:b/>
          <w:bCs/>
          <w:sz w:val="21"/>
          <w:szCs w:val="21"/>
        </w:rPr>
        <w:t>（二） 非经常性损益项目和金额</w:t>
      </w:r>
      <w:bookmarkEnd w:id="2"/>
    </w:p>
    <w:p>
      <w:pPr>
        <w:spacing w:before="0" w:after="0" w:line="240" w:lineRule="exact"/>
        <w:jc w:val="left"/>
        <w:rPr>
          <w:rFonts w:hint="default" w:ascii="Times New Roman" w:hAnsi="Times New Roman" w:eastAsia="宋体" w:cs="Times New Roman"/>
          <w:sz w:val="18"/>
          <w:szCs w:val="18"/>
        </w:rPr>
      </w:pPr>
      <w:r>
        <w:rPr>
          <w:rFonts w:hint="eastAsia" w:cs="Times New Roman"/>
          <w:sz w:val="18"/>
          <w:szCs w:val="18"/>
          <w:lang w:eastAsia="zh-CN"/>
        </w:rPr>
        <w:t>☑</w:t>
      </w:r>
      <w:r>
        <w:rPr>
          <w:rFonts w:hint="default" w:ascii="Times New Roman" w:hAnsi="Times New Roman" w:eastAsia="宋体" w:cs="Times New Roman"/>
          <w:sz w:val="18"/>
          <w:szCs w:val="18"/>
        </w:rPr>
        <w:t>适用 □不适用</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非流动性资产处置损益（包括已计提资产减值准备的冲销部分）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224,732.10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2,985,461.61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5,424,263.72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1,890,507.79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53,014.54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6,690,935.10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其他符合非经常性损益定义的损益项目的具体情况</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eastAsia" w:cs="Times New Roman"/>
          <w:sz w:val="18"/>
          <w:szCs w:val="18"/>
          <w:lang w:eastAsia="zh-CN"/>
        </w:rPr>
        <w:t>☑</w:t>
      </w:r>
      <w:r>
        <w:rPr>
          <w:rFonts w:hint="default" w:ascii="Times New Roman" w:hAnsi="Times New Roman" w:eastAsia="宋体" w:cs="Times New Roman"/>
          <w:sz w:val="18"/>
          <w:szCs w:val="18"/>
        </w:rPr>
        <w:t>不适用</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公司不存在其他符合非经常性损益定义的损益项目的具体情况。</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将《公开发行证券的公司信息披露解释性公告第1号——非经常性损益》中列举的非经常性损益项目界定为经常性损益项目的情况说明
</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eastAsia" w:cs="Times New Roman"/>
          <w:sz w:val="18"/>
          <w:szCs w:val="18"/>
          <w:lang w:eastAsia="zh-CN"/>
        </w:rPr>
        <w:t>☑</w:t>
      </w:r>
      <w:r>
        <w:rPr>
          <w:rFonts w:hint="default" w:ascii="Times New Roman" w:hAnsi="Times New Roman" w:eastAsia="宋体" w:cs="Times New Roman"/>
          <w:sz w:val="18"/>
          <w:szCs w:val="18"/>
        </w:rPr>
        <w:t>不适用</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公司不存在将《公开发行证券的公司信息披露解释性公告第1号——非经常性损益》中列举的非经常性损益项目界定为经常性损益的项目的情形。</w:t>
      </w:r>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3" w:name="_Toc988892"/>
      <w:r>
        <w:rPr>
          <w:rFonts w:hint="default" w:ascii="Times New Roman" w:hAnsi="Times New Roman" w:eastAsia="宋体" w:cs="Times New Roman"/>
          <w:b/>
          <w:bCs/>
          <w:sz w:val="21"/>
          <w:szCs w:val="21"/>
        </w:rPr>
        <w:t>（三） 主要会计数据和财务指标发生变动的情况及原因</w:t>
      </w:r>
      <w:bookmarkEnd w:id="3"/>
    </w:p>
    <w:p>
      <w:pPr>
        <w:spacing w:before="0" w:after="0" w:line="240" w:lineRule="exact"/>
        <w:jc w:val="left"/>
        <w:rPr>
          <w:rFonts w:hint="default" w:ascii="Times New Roman" w:hAnsi="Times New Roman" w:eastAsia="宋体" w:cs="Times New Roman"/>
          <w:sz w:val="18"/>
          <w:szCs w:val="18"/>
        </w:rPr>
      </w:pPr>
      <w:r>
        <w:rPr>
          <w:rFonts w:hint="eastAsia" w:cs="Times New Roman"/>
          <w:sz w:val="18"/>
          <w:szCs w:val="18"/>
          <w:lang w:eastAsia="zh-CN"/>
        </w:rPr>
        <w:t>☑</w:t>
      </w:r>
      <w:r>
        <w:rPr>
          <w:rFonts w:hint="default" w:ascii="Times New Roman" w:hAnsi="Times New Roman" w:eastAsia="宋体" w:cs="Times New Roman"/>
          <w:sz w:val="18"/>
          <w:szCs w:val="18"/>
        </w:rPr>
        <w:t>适用 □不适用</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 资产负债表项目：</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）应收账款期末数为</w:t>
      </w:r>
      <w:r>
        <w:rPr>
          <w:rFonts w:hint="default" w:ascii="Times New Roman" w:hAnsi="Times New Roman" w:eastAsia="宋体" w:cs="Times New Roman"/>
          <w:sz w:val="24"/>
          <w:szCs w:val="24"/>
        </w:rPr>
        <w:t>2,340,488,118.19</w:t>
      </w:r>
      <w:r>
        <w:rPr>
          <w:rFonts w:hint="eastAsia" w:ascii="宋体" w:hAnsi="宋体" w:eastAsia="宋体" w:cs="宋体"/>
          <w:sz w:val="24"/>
          <w:szCs w:val="24"/>
        </w:rPr>
        <w:t>元，比期初数增加</w:t>
      </w:r>
      <w:r>
        <w:rPr>
          <w:rFonts w:hint="default" w:ascii="Times New Roman" w:hAnsi="Times New Roman" w:eastAsia="宋体" w:cs="Times New Roman"/>
          <w:sz w:val="24"/>
          <w:szCs w:val="24"/>
        </w:rPr>
        <w:t>59.66%</w:t>
      </w:r>
      <w:r>
        <w:rPr>
          <w:rFonts w:hint="eastAsia" w:ascii="宋体" w:hAnsi="宋体" w:eastAsia="宋体" w:cs="宋体"/>
          <w:sz w:val="24"/>
          <w:szCs w:val="24"/>
        </w:rPr>
        <w:t>，其主要原因系报告期期末公司应收电费增加所致；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）存货期末数为</w:t>
      </w:r>
      <w:r>
        <w:rPr>
          <w:rFonts w:hint="default" w:ascii="Times New Roman" w:hAnsi="Times New Roman" w:eastAsia="宋体" w:cs="Times New Roman"/>
          <w:sz w:val="24"/>
          <w:szCs w:val="24"/>
        </w:rPr>
        <w:t>555,322,089.66</w:t>
      </w:r>
      <w:r>
        <w:rPr>
          <w:rFonts w:hint="eastAsia" w:ascii="宋体" w:hAnsi="宋体" w:eastAsia="宋体" w:cs="宋体"/>
          <w:sz w:val="24"/>
          <w:szCs w:val="24"/>
        </w:rPr>
        <w:t>元，比期初数减少</w:t>
      </w:r>
      <w:r>
        <w:rPr>
          <w:rFonts w:hint="default" w:ascii="Times New Roman" w:hAnsi="Times New Roman" w:eastAsia="宋体" w:cs="Times New Roman"/>
          <w:sz w:val="24"/>
          <w:szCs w:val="24"/>
        </w:rPr>
        <w:t>49.11%</w:t>
      </w:r>
      <w:r>
        <w:rPr>
          <w:rFonts w:hint="eastAsia" w:ascii="宋体" w:hAnsi="宋体" w:eastAsia="宋体" w:cs="宋体"/>
          <w:sz w:val="24"/>
          <w:szCs w:val="24"/>
        </w:rPr>
        <w:t>，其主要原因系报告期内公司结合生产需要及燃煤市场价格走势调整存货策略所致；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）在建工程期末数为</w:t>
      </w:r>
      <w:r>
        <w:rPr>
          <w:rFonts w:hint="default" w:ascii="Times New Roman" w:hAnsi="Times New Roman" w:eastAsia="宋体" w:cs="Times New Roman"/>
          <w:sz w:val="24"/>
          <w:szCs w:val="24"/>
        </w:rPr>
        <w:t>542,586,892.84</w:t>
      </w:r>
      <w:r>
        <w:rPr>
          <w:rFonts w:hint="eastAsia" w:ascii="宋体" w:hAnsi="宋体" w:eastAsia="宋体" w:cs="宋体"/>
          <w:sz w:val="24"/>
          <w:szCs w:val="24"/>
        </w:rPr>
        <w:t>元，比期初数减少</w:t>
      </w:r>
      <w:r>
        <w:rPr>
          <w:rFonts w:hint="default" w:ascii="Times New Roman" w:hAnsi="Times New Roman" w:eastAsia="宋体" w:cs="Times New Roman"/>
          <w:sz w:val="24"/>
          <w:szCs w:val="24"/>
        </w:rPr>
        <w:t>78.22%</w:t>
      </w:r>
      <w:r>
        <w:rPr>
          <w:rFonts w:hint="eastAsia" w:ascii="宋体" w:hAnsi="宋体" w:eastAsia="宋体" w:cs="宋体"/>
          <w:sz w:val="24"/>
          <w:szCs w:val="24"/>
        </w:rPr>
        <w:t>，其主要原因系报告期内公司所属汉川四期</w:t>
      </w:r>
      <w:r>
        <w:rPr>
          <w:rFonts w:hint="default" w:ascii="Times New Roman" w:hAnsi="Times New Roman" w:eastAsia="宋体" w:cs="Times New Roman"/>
          <w:sz w:val="24"/>
          <w:szCs w:val="24"/>
        </w:rPr>
        <w:t>2</w:t>
      </w:r>
      <w:r>
        <w:rPr>
          <w:rFonts w:hint="eastAsia" w:ascii="宋体" w:hAnsi="宋体" w:eastAsia="宋体" w:cs="宋体"/>
          <w:sz w:val="24"/>
          <w:szCs w:val="24"/>
        </w:rPr>
        <w:t>×</w:t>
      </w:r>
      <w:r>
        <w:rPr>
          <w:rFonts w:hint="default" w:ascii="Times New Roman" w:hAnsi="Times New Roman" w:eastAsia="宋体" w:cs="Times New Roman"/>
          <w:sz w:val="24"/>
          <w:szCs w:val="24"/>
        </w:rPr>
        <w:t>100</w:t>
      </w:r>
      <w:r>
        <w:rPr>
          <w:rFonts w:hint="eastAsia" w:ascii="宋体" w:hAnsi="宋体" w:eastAsia="宋体" w:cs="宋体"/>
          <w:sz w:val="24"/>
          <w:szCs w:val="24"/>
        </w:rPr>
        <w:t>万千瓦扩建项目达到预定可使用状态转固所致；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4</w:t>
      </w:r>
      <w:r>
        <w:rPr>
          <w:rFonts w:hint="eastAsia" w:ascii="宋体" w:hAnsi="宋体" w:eastAsia="宋体" w:cs="宋体"/>
          <w:sz w:val="24"/>
          <w:szCs w:val="24"/>
        </w:rPr>
        <w:t>）应付票据期末数为</w:t>
      </w:r>
      <w:r>
        <w:rPr>
          <w:rFonts w:hint="default" w:ascii="Times New Roman" w:hAnsi="Times New Roman" w:eastAsia="宋体" w:cs="Times New Roman"/>
          <w:sz w:val="24"/>
          <w:szCs w:val="24"/>
        </w:rPr>
        <w:t>184,824,472.66</w:t>
      </w:r>
      <w:r>
        <w:rPr>
          <w:rFonts w:hint="eastAsia" w:ascii="宋体" w:hAnsi="宋体" w:eastAsia="宋体" w:cs="宋体"/>
          <w:sz w:val="24"/>
          <w:szCs w:val="24"/>
        </w:rPr>
        <w:t>元，比期初数减少</w:t>
      </w:r>
      <w:r>
        <w:rPr>
          <w:rFonts w:hint="default" w:ascii="Times New Roman" w:hAnsi="Times New Roman" w:eastAsia="宋体" w:cs="Times New Roman"/>
          <w:sz w:val="24"/>
          <w:szCs w:val="24"/>
        </w:rPr>
        <w:t>63.74%</w:t>
      </w:r>
      <w:r>
        <w:rPr>
          <w:rFonts w:hint="eastAsia" w:ascii="宋体" w:hAnsi="宋体" w:eastAsia="宋体" w:cs="宋体"/>
          <w:sz w:val="24"/>
          <w:szCs w:val="24"/>
        </w:rPr>
        <w:t>，其主要原因系报告期内公司应付票据到期兑付减少所致。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5</w:t>
      </w:r>
      <w:r>
        <w:rPr>
          <w:rFonts w:hint="eastAsia" w:ascii="宋体" w:hAnsi="宋体" w:eastAsia="宋体" w:cs="宋体"/>
          <w:sz w:val="24"/>
          <w:szCs w:val="24"/>
        </w:rPr>
        <w:t>）应交税费期末数为</w:t>
      </w:r>
      <w:r>
        <w:rPr>
          <w:rFonts w:hint="default" w:ascii="Times New Roman" w:hAnsi="Times New Roman" w:eastAsia="宋体" w:cs="Times New Roman"/>
          <w:sz w:val="24"/>
          <w:szCs w:val="24"/>
        </w:rPr>
        <w:t>124,214,498.61</w:t>
      </w:r>
      <w:r>
        <w:rPr>
          <w:rFonts w:hint="eastAsia" w:ascii="宋体" w:hAnsi="宋体" w:eastAsia="宋体" w:cs="宋体"/>
          <w:sz w:val="24"/>
          <w:szCs w:val="24"/>
        </w:rPr>
        <w:t>元，比期初数增加</w:t>
      </w:r>
      <w:r>
        <w:rPr>
          <w:rFonts w:hint="default" w:ascii="Times New Roman" w:hAnsi="Times New Roman" w:eastAsia="宋体" w:cs="Times New Roman"/>
          <w:sz w:val="24"/>
          <w:szCs w:val="24"/>
        </w:rPr>
        <w:t>32.14%</w:t>
      </w:r>
      <w:r>
        <w:rPr>
          <w:rFonts w:hint="eastAsia" w:ascii="宋体" w:hAnsi="宋体" w:eastAsia="宋体" w:cs="宋体"/>
          <w:sz w:val="24"/>
          <w:szCs w:val="24"/>
        </w:rPr>
        <w:t>，其主要原因系报告期公司利润总额增加应交所得税、应交增值税增加所致。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2. </w:t>
      </w:r>
      <w:r>
        <w:rPr>
          <w:rFonts w:hint="eastAsia" w:ascii="宋体" w:hAnsi="宋体" w:eastAsia="宋体" w:cs="宋体"/>
          <w:sz w:val="24"/>
          <w:szCs w:val="24"/>
        </w:rPr>
        <w:t>利润表项目：</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）研发费用</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2,453,831.82</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79.86%</w:t>
      </w:r>
      <w:r>
        <w:rPr>
          <w:rFonts w:hint="eastAsia" w:ascii="宋体" w:hAnsi="宋体" w:eastAsia="宋体" w:cs="宋体"/>
          <w:sz w:val="24"/>
          <w:szCs w:val="24"/>
        </w:rPr>
        <w:t>，其主要原因系报告期内公司开展研发活动同比减少所致；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）其他收益</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3,779,493.11</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41.01%</w:t>
      </w:r>
      <w:r>
        <w:rPr>
          <w:rFonts w:hint="eastAsia" w:ascii="宋体" w:hAnsi="宋体" w:eastAsia="宋体" w:cs="宋体"/>
          <w:sz w:val="24"/>
          <w:szCs w:val="24"/>
        </w:rPr>
        <w:t>，其主要原因系报告期内公司收到增值税即征即退同比减少所致；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）投资收益</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-3,332,244.67</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33.10%</w:t>
      </w:r>
      <w:r>
        <w:rPr>
          <w:rFonts w:hint="eastAsia" w:ascii="宋体" w:hAnsi="宋体" w:eastAsia="宋体" w:cs="宋体"/>
          <w:sz w:val="24"/>
          <w:szCs w:val="24"/>
        </w:rPr>
        <w:t>，其主要原因系报告期内公司参股企业净利润同比增加所致；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4</w:t>
      </w:r>
      <w:r>
        <w:rPr>
          <w:rFonts w:hint="eastAsia" w:ascii="宋体" w:hAnsi="宋体" w:eastAsia="宋体" w:cs="宋体"/>
          <w:sz w:val="24"/>
          <w:szCs w:val="24"/>
        </w:rPr>
        <w:t>）信用减值损失</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2,245,289.53</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686.95%</w:t>
      </w:r>
      <w:r>
        <w:rPr>
          <w:rFonts w:hint="eastAsia" w:ascii="宋体" w:hAnsi="宋体" w:eastAsia="宋体" w:cs="宋体"/>
          <w:sz w:val="24"/>
          <w:szCs w:val="24"/>
        </w:rPr>
        <w:t>，其主要原因系报告期内公司收回应收账款相应转回坏账准备同比增加所致；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5</w:t>
      </w:r>
      <w:r>
        <w:rPr>
          <w:rFonts w:hint="eastAsia" w:ascii="宋体" w:hAnsi="宋体" w:eastAsia="宋体" w:cs="宋体"/>
          <w:sz w:val="24"/>
          <w:szCs w:val="24"/>
        </w:rPr>
        <w:t>）资产处置收益</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224,732.10</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214.18%</w:t>
      </w:r>
      <w:r>
        <w:rPr>
          <w:rFonts w:hint="eastAsia" w:ascii="宋体" w:hAnsi="宋体" w:eastAsia="宋体" w:cs="宋体"/>
          <w:sz w:val="24"/>
          <w:szCs w:val="24"/>
        </w:rPr>
        <w:t>，其主要原因系报告期内公司子公司资产处置收益增加所致；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6</w:t>
      </w:r>
      <w:r>
        <w:rPr>
          <w:rFonts w:hint="eastAsia" w:ascii="宋体" w:hAnsi="宋体" w:eastAsia="宋体" w:cs="宋体"/>
          <w:sz w:val="24"/>
          <w:szCs w:val="24"/>
        </w:rPr>
        <w:t>）营业利润</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152,692,871.98</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384.84%</w:t>
      </w:r>
      <w:r>
        <w:rPr>
          <w:rFonts w:hint="eastAsia" w:ascii="宋体" w:hAnsi="宋体" w:eastAsia="宋体" w:cs="宋体"/>
          <w:sz w:val="24"/>
          <w:szCs w:val="24"/>
        </w:rPr>
        <w:t>，其主要原因系报告期内公司入炉综合标煤单价同比下降及发电量同比增加所致；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7</w:t>
      </w:r>
      <w:r>
        <w:rPr>
          <w:rFonts w:hint="eastAsia" w:ascii="宋体" w:hAnsi="宋体" w:eastAsia="宋体" w:cs="宋体"/>
          <w:sz w:val="24"/>
          <w:szCs w:val="24"/>
        </w:rPr>
        <w:t>）营业外收入</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5,599,326.35</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184.79%</w:t>
      </w:r>
      <w:r>
        <w:rPr>
          <w:rFonts w:hint="eastAsia" w:ascii="宋体" w:hAnsi="宋体" w:eastAsia="宋体" w:cs="宋体"/>
          <w:sz w:val="24"/>
          <w:szCs w:val="24"/>
        </w:rPr>
        <w:t>，其主要原因系报告期内公司收到库区占地补偿及电量补偿收入等增加所致；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8</w:t>
      </w:r>
      <w:r>
        <w:rPr>
          <w:rFonts w:hint="eastAsia" w:ascii="宋体" w:hAnsi="宋体" w:eastAsia="宋体" w:cs="宋体"/>
          <w:sz w:val="24"/>
          <w:szCs w:val="24"/>
        </w:rPr>
        <w:t>）利润总额</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158,117,135.70</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405.29%</w:t>
      </w:r>
      <w:r>
        <w:rPr>
          <w:rFonts w:hint="eastAsia" w:ascii="宋体" w:hAnsi="宋体" w:eastAsia="宋体" w:cs="宋体"/>
          <w:sz w:val="24"/>
          <w:szCs w:val="24"/>
        </w:rPr>
        <w:t>，其主要原因系报告期内公司入炉综合标煤单价同比下降及发电量同比增加所致；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9</w:t>
      </w:r>
      <w:r>
        <w:rPr>
          <w:rFonts w:hint="eastAsia" w:ascii="宋体" w:hAnsi="宋体" w:eastAsia="宋体" w:cs="宋体"/>
          <w:sz w:val="24"/>
          <w:szCs w:val="24"/>
        </w:rPr>
        <w:t>）所得税费用</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59,543,237.95</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119.48%</w:t>
      </w:r>
      <w:r>
        <w:rPr>
          <w:rFonts w:hint="eastAsia" w:ascii="宋体" w:hAnsi="宋体" w:eastAsia="宋体" w:cs="宋体"/>
          <w:sz w:val="24"/>
          <w:szCs w:val="24"/>
        </w:rPr>
        <w:t>，其主要原因系报告期内公司所属单位应纳税所得额同比增加所致；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10</w:t>
      </w:r>
      <w:r>
        <w:rPr>
          <w:rFonts w:hint="eastAsia" w:ascii="宋体" w:hAnsi="宋体" w:eastAsia="宋体" w:cs="宋体"/>
          <w:sz w:val="24"/>
          <w:szCs w:val="24"/>
        </w:rPr>
        <w:t>）净利润</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98,573,897.75</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224.90%</w:t>
      </w:r>
      <w:r>
        <w:rPr>
          <w:rFonts w:hint="eastAsia" w:ascii="宋体" w:hAnsi="宋体" w:eastAsia="宋体" w:cs="宋体"/>
          <w:sz w:val="24"/>
          <w:szCs w:val="24"/>
        </w:rPr>
        <w:t>，其主要原因系报告期内公司入炉综合标煤单价同比下降及发电量同比增加所致；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11</w:t>
      </w:r>
      <w:r>
        <w:rPr>
          <w:rFonts w:hint="eastAsia" w:ascii="宋体" w:hAnsi="宋体" w:eastAsia="宋体" w:cs="宋体"/>
          <w:sz w:val="24"/>
          <w:szCs w:val="24"/>
        </w:rPr>
        <w:t>）归属于母公司所有者的净利润</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104,657,664.73</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242.26%</w:t>
      </w:r>
      <w:r>
        <w:rPr>
          <w:rFonts w:hint="eastAsia" w:ascii="宋体" w:hAnsi="宋体" w:eastAsia="宋体" w:cs="宋体"/>
          <w:sz w:val="24"/>
          <w:szCs w:val="24"/>
        </w:rPr>
        <w:t>，其主要原因系报告期内公司净利润增加所致；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12</w:t>
      </w:r>
      <w:r>
        <w:rPr>
          <w:rFonts w:hint="eastAsia" w:ascii="宋体" w:hAnsi="宋体" w:eastAsia="宋体" w:cs="宋体"/>
          <w:sz w:val="24"/>
          <w:szCs w:val="24"/>
        </w:rPr>
        <w:t>）基本每股收益</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0.0301</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242.65%</w:t>
      </w:r>
      <w:r>
        <w:rPr>
          <w:rFonts w:hint="eastAsia" w:ascii="宋体" w:hAnsi="宋体" w:eastAsia="宋体" w:cs="宋体"/>
          <w:sz w:val="24"/>
          <w:szCs w:val="24"/>
        </w:rPr>
        <w:t>，其主要原因系报告期内公司归属于母公司所有者的净利润增加所致。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3. </w:t>
      </w:r>
      <w:r>
        <w:rPr>
          <w:rFonts w:hint="eastAsia" w:ascii="宋体" w:hAnsi="宋体" w:eastAsia="宋体" w:cs="宋体"/>
          <w:sz w:val="24"/>
          <w:szCs w:val="24"/>
        </w:rPr>
        <w:t>现金流量表项目：</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）收到的税费返还</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0</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100%</w:t>
      </w:r>
      <w:r>
        <w:rPr>
          <w:rFonts w:hint="eastAsia" w:ascii="宋体" w:hAnsi="宋体" w:eastAsia="宋体" w:cs="宋体"/>
          <w:sz w:val="24"/>
          <w:szCs w:val="24"/>
        </w:rPr>
        <w:t>，主要原因系报告期内公司收到增值税留抵退税款同比减少所致；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）收到其他与经营活动有关的现金</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90,444,441.79</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157.48%</w:t>
      </w:r>
      <w:r>
        <w:rPr>
          <w:rFonts w:hint="eastAsia" w:ascii="宋体" w:hAnsi="宋体" w:eastAsia="宋体" w:cs="宋体"/>
          <w:sz w:val="24"/>
          <w:szCs w:val="24"/>
        </w:rPr>
        <w:t>，主要原因系报告期内公司收到单位间往来款项同比增加所致；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）支付的各项税费</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93,401,761.55</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63.37%</w:t>
      </w:r>
      <w:r>
        <w:rPr>
          <w:rFonts w:hint="eastAsia" w:ascii="宋体" w:hAnsi="宋体" w:eastAsia="宋体" w:cs="宋体"/>
          <w:sz w:val="24"/>
          <w:szCs w:val="24"/>
        </w:rPr>
        <w:t>，主要原因系报告期内公司缴纳企业所得税等税费减少等所致；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4</w:t>
      </w:r>
      <w:r>
        <w:rPr>
          <w:rFonts w:hint="eastAsia" w:ascii="宋体" w:hAnsi="宋体" w:eastAsia="宋体" w:cs="宋体"/>
          <w:sz w:val="24"/>
          <w:szCs w:val="24"/>
        </w:rPr>
        <w:t>）经营活动产生的现金流量净额</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187,010,689.85</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79.00%</w:t>
      </w:r>
      <w:r>
        <w:rPr>
          <w:rFonts w:hint="eastAsia" w:ascii="宋体" w:hAnsi="宋体" w:eastAsia="宋体" w:cs="宋体"/>
          <w:sz w:val="24"/>
          <w:szCs w:val="24"/>
        </w:rPr>
        <w:t>，主要原因系报告期内公司经营活动现金流入同比减少所致；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5</w:t>
      </w:r>
      <w:r>
        <w:rPr>
          <w:rFonts w:hint="eastAsia" w:ascii="宋体" w:hAnsi="宋体" w:eastAsia="宋体" w:cs="宋体"/>
          <w:sz w:val="24"/>
          <w:szCs w:val="24"/>
        </w:rPr>
        <w:t>）处置固定资产、无形资产和其他长期资产收回的现金净额</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1,047,214.40</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48.22%</w:t>
      </w:r>
      <w:r>
        <w:rPr>
          <w:rFonts w:hint="eastAsia" w:ascii="宋体" w:hAnsi="宋体" w:eastAsia="宋体" w:cs="宋体"/>
          <w:sz w:val="24"/>
          <w:szCs w:val="24"/>
        </w:rPr>
        <w:t>，主要原因系报告期内公司处置固定资产收到现金同比减少所致；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6</w:t>
      </w:r>
      <w:r>
        <w:rPr>
          <w:rFonts w:hint="eastAsia" w:ascii="宋体" w:hAnsi="宋体" w:eastAsia="宋体" w:cs="宋体"/>
          <w:sz w:val="24"/>
          <w:szCs w:val="24"/>
        </w:rPr>
        <w:t>）投资活动现金流入小计</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5,247,214.40</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159.47%</w:t>
      </w:r>
      <w:r>
        <w:rPr>
          <w:rFonts w:hint="eastAsia" w:ascii="宋体" w:hAnsi="宋体" w:eastAsia="宋体" w:cs="宋体"/>
          <w:sz w:val="24"/>
          <w:szCs w:val="24"/>
        </w:rPr>
        <w:t>，主要原因系报告期内公司所属子公司收回投资收到的现金同比增加所致；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7</w:t>
      </w:r>
      <w:r>
        <w:rPr>
          <w:rFonts w:hint="eastAsia" w:ascii="宋体" w:hAnsi="宋体" w:eastAsia="宋体" w:cs="宋体"/>
          <w:sz w:val="24"/>
          <w:szCs w:val="24"/>
        </w:rPr>
        <w:t>）购建固定资产、无形资产和其他长期资产支付的现金</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694,448,944.60</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31.89%</w:t>
      </w:r>
      <w:r>
        <w:rPr>
          <w:rFonts w:hint="eastAsia" w:ascii="宋体" w:hAnsi="宋体" w:eastAsia="宋体" w:cs="宋体"/>
          <w:sz w:val="24"/>
          <w:szCs w:val="24"/>
        </w:rPr>
        <w:t>，主要原因系报告期公司基建项目投入支付的现金同比减少所致。</w:t>
      </w:r>
      <w:r>
        <w:rPr>
          <w:rFonts w:hint="default" w:ascii="Times New Roman" w:hAnsi="Times New Roman" w:eastAsia="宋体" w:cs="Times New Roman"/>
          <w:sz w:val="24"/>
          <w:szCs w:val="24"/>
        </w:rPr>
        <w:t xml:space="preserve"> </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8</w:t>
      </w:r>
      <w:r>
        <w:rPr>
          <w:rFonts w:hint="eastAsia" w:ascii="宋体" w:hAnsi="宋体" w:eastAsia="宋体" w:cs="宋体"/>
          <w:sz w:val="24"/>
          <w:szCs w:val="24"/>
        </w:rPr>
        <w:t>）投资活动产生的现金流量净额</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-689,201,730.20</w:t>
      </w:r>
      <w:r>
        <w:rPr>
          <w:rFonts w:hint="eastAsia" w:ascii="宋体" w:hAnsi="宋体" w:eastAsia="宋体" w:cs="宋体"/>
          <w:sz w:val="24"/>
          <w:szCs w:val="24"/>
        </w:rPr>
        <w:t>元，比上年同期增加</w:t>
      </w:r>
      <w:r>
        <w:rPr>
          <w:rFonts w:hint="default" w:ascii="Times New Roman" w:hAnsi="Times New Roman" w:eastAsia="宋体" w:cs="Times New Roman"/>
          <w:sz w:val="24"/>
          <w:szCs w:val="24"/>
        </w:rPr>
        <w:t>32.27%</w:t>
      </w:r>
      <w:r>
        <w:rPr>
          <w:rFonts w:hint="eastAsia" w:ascii="宋体" w:hAnsi="宋体" w:eastAsia="宋体" w:cs="宋体"/>
          <w:sz w:val="24"/>
          <w:szCs w:val="24"/>
        </w:rPr>
        <w:t>，主要原因系报告期公司购建固定资产、无形资产和其他长期资产支付的现金同比减少所致。</w:t>
      </w:r>
      <w:r>
        <w:rPr>
          <w:rFonts w:hint="default" w:ascii="Times New Roman" w:hAnsi="Times New Roman" w:eastAsia="宋体" w:cs="Times New Roman"/>
          <w:sz w:val="24"/>
          <w:szCs w:val="24"/>
        </w:rPr>
        <w:t xml:space="preserve"> </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9</w:t>
      </w:r>
      <w:r>
        <w:rPr>
          <w:rFonts w:hint="eastAsia" w:ascii="宋体" w:hAnsi="宋体" w:eastAsia="宋体" w:cs="宋体"/>
          <w:sz w:val="24"/>
          <w:szCs w:val="24"/>
        </w:rPr>
        <w:t>）取得借款收到的现金</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5,190,399,229.77</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62.49%</w:t>
      </w:r>
      <w:r>
        <w:rPr>
          <w:rFonts w:hint="eastAsia" w:ascii="宋体" w:hAnsi="宋体" w:eastAsia="宋体" w:cs="宋体"/>
          <w:sz w:val="24"/>
          <w:szCs w:val="24"/>
        </w:rPr>
        <w:t>，主要原因系报告期公司取得银行借款同比增加所致。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10</w:t>
      </w:r>
      <w:r>
        <w:rPr>
          <w:rFonts w:hint="eastAsia" w:ascii="宋体" w:hAnsi="宋体" w:eastAsia="宋体" w:cs="宋体"/>
          <w:sz w:val="24"/>
          <w:szCs w:val="24"/>
        </w:rPr>
        <w:t>）偿还债务支付的现金</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4,569,847,750.67</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61.94%</w:t>
      </w:r>
      <w:r>
        <w:rPr>
          <w:rFonts w:hint="eastAsia" w:ascii="宋体" w:hAnsi="宋体" w:eastAsia="宋体" w:cs="宋体"/>
          <w:sz w:val="24"/>
          <w:szCs w:val="24"/>
        </w:rPr>
        <w:t>，主要原因系报告期公司偿还银行借款同比增加所致。</w:t>
      </w:r>
      <w:r>
        <w:rPr>
          <w:rFonts w:hint="default" w:ascii="Times New Roman" w:hAnsi="Times New Roman" w:eastAsia="宋体" w:cs="Times New Roman"/>
          <w:sz w:val="24"/>
          <w:szCs w:val="24"/>
        </w:rPr>
        <w:t xml:space="preserve"> </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11</w:t>
      </w:r>
      <w:r>
        <w:rPr>
          <w:rFonts w:hint="eastAsia" w:ascii="宋体" w:hAnsi="宋体" w:eastAsia="宋体" w:cs="宋体"/>
          <w:sz w:val="24"/>
          <w:szCs w:val="24"/>
        </w:rPr>
        <w:t>）支付其他与筹资活动有关的现金</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3,079,257.95</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200.31%</w:t>
      </w:r>
      <w:r>
        <w:rPr>
          <w:rFonts w:hint="eastAsia" w:ascii="宋体" w:hAnsi="宋体" w:eastAsia="宋体" w:cs="宋体"/>
          <w:sz w:val="24"/>
          <w:szCs w:val="24"/>
        </w:rPr>
        <w:t>，主要原因系报告期公司法透账户承诺费等增加所致。</w:t>
      </w:r>
      <w:r>
        <w:rPr>
          <w:rFonts w:hint="default" w:ascii="Times New Roman" w:hAnsi="Times New Roman" w:eastAsia="宋体" w:cs="Times New Roman"/>
          <w:sz w:val="24"/>
          <w:szCs w:val="24"/>
        </w:rPr>
        <w:t xml:space="preserve"> </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12</w:t>
      </w:r>
      <w:r>
        <w:rPr>
          <w:rFonts w:hint="eastAsia" w:ascii="宋体" w:hAnsi="宋体" w:eastAsia="宋体" w:cs="宋体"/>
          <w:sz w:val="24"/>
          <w:szCs w:val="24"/>
        </w:rPr>
        <w:t>）筹资活动现金流出小计</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4,690,014,631.99</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59.45%</w:t>
      </w:r>
      <w:r>
        <w:rPr>
          <w:rFonts w:hint="eastAsia" w:ascii="宋体" w:hAnsi="宋体" w:eastAsia="宋体" w:cs="宋体"/>
          <w:sz w:val="24"/>
          <w:szCs w:val="24"/>
        </w:rPr>
        <w:t>，主要原因系报告期内公司偿还债务支付的现金同比增加较多等原因所致；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13</w:t>
      </w:r>
      <w:r>
        <w:rPr>
          <w:rFonts w:hint="eastAsia" w:ascii="宋体" w:hAnsi="宋体" w:eastAsia="宋体" w:cs="宋体"/>
          <w:sz w:val="24"/>
          <w:szCs w:val="24"/>
        </w:rPr>
        <w:t>）筹资活动产生的现金流量净额</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500,384,597.78</w:t>
      </w:r>
      <w:r>
        <w:rPr>
          <w:rFonts w:hint="eastAsia" w:ascii="宋体" w:hAnsi="宋体" w:eastAsia="宋体" w:cs="宋体"/>
          <w:sz w:val="24"/>
          <w:szCs w:val="24"/>
        </w:rPr>
        <w:t>元，比上年同期数增加</w:t>
      </w:r>
      <w:r>
        <w:rPr>
          <w:rFonts w:hint="default" w:ascii="Times New Roman" w:hAnsi="Times New Roman" w:eastAsia="宋体" w:cs="Times New Roman"/>
          <w:sz w:val="24"/>
          <w:szCs w:val="24"/>
        </w:rPr>
        <w:t>97.85%</w:t>
      </w:r>
      <w:r>
        <w:rPr>
          <w:rFonts w:hint="eastAsia" w:ascii="宋体" w:hAnsi="宋体" w:eastAsia="宋体" w:cs="宋体"/>
          <w:sz w:val="24"/>
          <w:szCs w:val="24"/>
        </w:rPr>
        <w:t>，主要原因系报告期内公司取得借款收到的现金同比增加等原因所致；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14</w:t>
      </w:r>
      <w:r>
        <w:rPr>
          <w:rFonts w:hint="eastAsia" w:ascii="宋体" w:hAnsi="宋体" w:eastAsia="宋体" w:cs="宋体"/>
          <w:sz w:val="24"/>
          <w:szCs w:val="24"/>
        </w:rPr>
        <w:t>）现金及现金等价物净增加额</w:t>
      </w:r>
      <w:r>
        <w:rPr>
          <w:rFonts w:hint="default" w:ascii="Times New Roman" w:hAnsi="Times New Roman" w:eastAsia="宋体" w:cs="Times New Roman"/>
          <w:sz w:val="24"/>
          <w:szCs w:val="24"/>
        </w:rPr>
        <w:t>2026</w:t>
      </w:r>
      <w:r>
        <w:rPr>
          <w:rFonts w:hint="eastAsia" w:ascii="宋体" w:hAnsi="宋体" w:eastAsia="宋体" w:cs="宋体"/>
          <w:sz w:val="24"/>
          <w:szCs w:val="24"/>
        </w:rPr>
        <w:t>年</w:t>
      </w:r>
      <w:r>
        <w:rPr>
          <w:rFonts w:hint="default" w:ascii="Times New Roman" w:hAnsi="Times New Roman" w:eastAsia="宋体" w:cs="Times New Roman"/>
          <w:sz w:val="24"/>
          <w:szCs w:val="24"/>
        </w:rPr>
        <w:t>1-3</w:t>
      </w:r>
      <w:r>
        <w:rPr>
          <w:rFonts w:hint="eastAsia" w:ascii="宋体" w:hAnsi="宋体" w:eastAsia="宋体" w:cs="宋体"/>
          <w:sz w:val="24"/>
          <w:szCs w:val="24"/>
        </w:rPr>
        <w:t>月发生数为</w:t>
      </w:r>
      <w:r>
        <w:rPr>
          <w:rFonts w:hint="default" w:ascii="Times New Roman" w:hAnsi="Times New Roman" w:eastAsia="宋体" w:cs="Times New Roman"/>
          <w:sz w:val="24"/>
          <w:szCs w:val="24"/>
        </w:rPr>
        <w:t>-1,806,442.57</w:t>
      </w:r>
      <w:r>
        <w:rPr>
          <w:rFonts w:hint="eastAsia" w:ascii="宋体" w:hAnsi="宋体" w:eastAsia="宋体" w:cs="宋体"/>
          <w:sz w:val="24"/>
          <w:szCs w:val="24"/>
        </w:rPr>
        <w:t>元，比上年同期数减少</w:t>
      </w:r>
      <w:r>
        <w:rPr>
          <w:rFonts w:hint="eastAsia" w:ascii="Times New Roman" w:hAnsi="Times New Roman" w:eastAsia="宋体" w:cs="Times New Roman"/>
          <w:sz w:val="24"/>
          <w:szCs w:val="24"/>
        </w:rPr>
        <w:t>101.43%</w:t>
      </w:r>
      <w:r>
        <w:rPr>
          <w:rFonts w:hint="eastAsia" w:ascii="宋体" w:hAnsi="宋体" w:eastAsia="宋体" w:cs="宋体"/>
          <w:sz w:val="24"/>
          <w:szCs w:val="24"/>
        </w:rPr>
        <w:t>，主要原因系报告期内公司经营活动产生的现金流量净额同比减少所致。</w:t>
      </w:r>
    </w:p>
    <w:p>
      <w:pPr>
        <w:pStyle w:val="6"/>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4"/>
          <w:szCs w:val="24"/>
        </w:rPr>
      </w:pPr>
      <w:r>
        <w:rPr>
          <w:rFonts w:hint="eastAsia" w:ascii="宋体" w:hAnsi="宋体" w:eastAsia="宋体" w:cs="宋体"/>
          <w:sz w:val="24"/>
          <w:szCs w:val="24"/>
        </w:rPr>
        <w:t>（</w:t>
      </w:r>
      <w:r>
        <w:rPr>
          <w:rFonts w:hint="default" w:ascii="Times New Roman" w:hAnsi="Times New Roman" w:eastAsia="宋体" w:cs="Times New Roman"/>
          <w:sz w:val="24"/>
          <w:szCs w:val="24"/>
        </w:rPr>
        <w:t>15</w:t>
      </w:r>
      <w:r>
        <w:rPr>
          <w:rFonts w:hint="eastAsia" w:ascii="宋体" w:hAnsi="宋体" w:eastAsia="宋体" w:cs="宋体"/>
          <w:sz w:val="24"/>
          <w:szCs w:val="24"/>
        </w:rPr>
        <w:t>）期末现金及现金等价物余额为</w:t>
      </w:r>
      <w:r>
        <w:rPr>
          <w:rFonts w:hint="default" w:ascii="Times New Roman" w:hAnsi="Times New Roman" w:eastAsia="宋体" w:cs="Times New Roman"/>
          <w:sz w:val="24"/>
          <w:szCs w:val="24"/>
        </w:rPr>
        <w:t>140,048,014.00</w:t>
      </w:r>
      <w:r>
        <w:rPr>
          <w:rFonts w:hint="eastAsia" w:ascii="宋体" w:hAnsi="宋体" w:eastAsia="宋体" w:cs="宋体"/>
          <w:sz w:val="24"/>
          <w:szCs w:val="24"/>
        </w:rPr>
        <w:t>元，比上年同期数减少</w:t>
      </w:r>
      <w:r>
        <w:rPr>
          <w:rFonts w:hint="default" w:ascii="Times New Roman" w:hAnsi="Times New Roman" w:eastAsia="宋体" w:cs="Times New Roman"/>
          <w:sz w:val="24"/>
          <w:szCs w:val="24"/>
        </w:rPr>
        <w:t>60.63%</w:t>
      </w:r>
      <w:r>
        <w:rPr>
          <w:rFonts w:hint="eastAsia" w:ascii="宋体" w:hAnsi="宋体" w:eastAsia="宋体" w:cs="宋体"/>
          <w:sz w:val="24"/>
          <w:szCs w:val="24"/>
        </w:rPr>
        <w:t>，主要原因系报告期内公司结合生产经营需要，加强日常货币资金余额管控，不断提高资金使用效率等原因所致</w:t>
      </w:r>
      <w:r>
        <w:rPr>
          <w:rFonts w:hint="default" w:ascii="Times New Roman" w:hAnsi="Times New Roman" w:eastAsia="宋体" w:cs="Times New Roman"/>
          <w:sz w:val="24"/>
          <w:szCs w:val="24"/>
        </w:rPr>
        <w:t>。</w:t>
      </w:r>
    </w:p>
    <w:p>
      <w:pPr>
        <w:pStyle w:val="10"/>
        <w:keepNext/>
        <w:keepLines/>
        <w:spacing w:before="300" w:after="300" w:line="320" w:lineRule="exact"/>
        <w:jc w:val="left"/>
        <w:outlineLvl w:val="0"/>
        <w:rPr>
          <w:rFonts w:hint="default" w:ascii="Times New Roman" w:hAnsi="Times New Roman" w:eastAsia="宋体" w:cs="Times New Roman"/>
          <w:b/>
          <w:bCs/>
          <w:sz w:val="24"/>
          <w:szCs w:val="24"/>
        </w:rPr>
      </w:pPr>
      <w:bookmarkStart w:id="4" w:name="_Toc988893"/>
      <w:r>
        <w:rPr>
          <w:rFonts w:hint="default" w:ascii="Times New Roman" w:hAnsi="Times New Roman" w:eastAsia="宋体" w:cs="Times New Roman"/>
          <w:b/>
          <w:bCs/>
          <w:sz w:val="24"/>
          <w:szCs w:val="24"/>
        </w:rPr>
        <w:t xml:space="preserve">二、股东信息 </w:t>
      </w:r>
      <w:bookmarkEnd w:id="4"/>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5" w:name="_Toc988894"/>
      <w:r>
        <w:rPr>
          <w:rFonts w:hint="default" w:ascii="Times New Roman" w:hAnsi="Times New Roman" w:eastAsia="宋体" w:cs="Times New Roman"/>
          <w:b/>
          <w:bCs/>
          <w:sz w:val="21"/>
          <w:szCs w:val="21"/>
        </w:rPr>
        <w:t>（一） 普通股股东总数和表决权恢复的优先股股东数量及前十名股东持股情况表</w:t>
      </w:r>
      <w:bookmarkEnd w:id="5"/>
    </w:p>
    <w:p>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单位：股</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报告期末普通股股东总数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123,606</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2,075,329,926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219,512,196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中国能源建设集团有限公司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102,183,329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8"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25,176,000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中国工商银行－广发聚丰混合型证券投资基金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12,846,600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香港中央结算有限公司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境外法人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11,901,696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诺德基金－南昌市国金产业投资有限公司－诺德基金浦江1269号单一资产管理计划</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中国建设银行股份有限公司－广发中证全指电力公用事业交易型开放式指数证券投资基金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9,778,650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2"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谢润芳</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华泰证券股份有限公司－嘉实国证绿色电力交易型开放式指数证券投资基金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6,560,200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rPr>
            </w:pPr>
          </w:p>
        </w:tc>
        <w:tc>
          <w:tcPr>
            <w:tcW w:w="4131" w:type="dxa"/>
            <w:gridSpan w:val="3"/>
            <w:vMerge w:val="continue"/>
            <w:tcBorders>
              <w:top w:val="single" w:color="auto" w:sz="2" w:space="0"/>
              <w:left w:val="single" w:color="auto" w:sz="2" w:space="0"/>
              <w:bottom w:val="single" w:color="auto" w:sz="2" w:space="0"/>
              <w:right w:val="single" w:color="auto" w:sz="2" w:space="0"/>
            </w:tcBorders>
            <w:vAlign w:val="center"/>
          </w:tcPr>
          <w:p>
            <w:pPr>
              <w:rPr>
                <w:rFonts w:hint="default"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1,855,817,730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1,855,817,730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中国能源建设集团有限公司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102,183,329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102,183,329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25,176,000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25,176,000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中国工商银行－广发聚丰混合型证券投资基金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12,846,600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12,846,600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香港中央结算有限公司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11,901,696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11,901,696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诺德基金－南昌市国金产业投资有限公司－诺德基金浦江1269号单一资产管理计划</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10,975,610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中国建设银行股份有限公司－广发中证全指电力公用事业交易型开放式指数证券投资基金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9,778,650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9,778,650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谢润芳</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华泰证券股份有限公司－嘉实国证绿色电力交易型开放式指数证券投资基金</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6,560,200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6,560,200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国家能源投资集团有限责任公司是湖北能源集团股份有限公司的股东，持股比例为3.00%。除此之外，上述股东之间未知是否存在其它关联关系或属于《上市公司收购管理办法》规定的一致行动人。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股东谢润芳，通过中信建投证券股份有限公司客户信用交易担保证券账户持有本公司股票7,200,000股。</w:t>
            </w:r>
          </w:p>
        </w:tc>
      </w:tr>
    </w:tbl>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持股5%以上股东、前10名股东及前10名无限售流通股股东参与转融通业务出借股份情况</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eastAsia" w:cs="Times New Roman"/>
          <w:sz w:val="18"/>
          <w:szCs w:val="18"/>
          <w:lang w:eastAsia="zh-CN"/>
        </w:rPr>
        <w:t>☑</w:t>
      </w:r>
      <w:r>
        <w:rPr>
          <w:rFonts w:hint="default" w:ascii="Times New Roman" w:hAnsi="Times New Roman" w:eastAsia="宋体" w:cs="Times New Roman"/>
          <w:sz w:val="18"/>
          <w:szCs w:val="18"/>
        </w:rPr>
        <w:t>不适用</w:t>
      </w:r>
    </w:p>
    <w:p>
      <w:pPr>
        <w:spacing w:before="100" w:after="10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前10名股东及前10名无限售流通股股东因转融通出借/归还原因导致较上期发生变化</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eastAsia" w:cs="Times New Roman"/>
          <w:sz w:val="18"/>
          <w:szCs w:val="18"/>
          <w:lang w:eastAsia="zh-CN"/>
        </w:rPr>
        <w:t>☑</w:t>
      </w:r>
      <w:r>
        <w:rPr>
          <w:rFonts w:hint="default" w:ascii="Times New Roman" w:hAnsi="Times New Roman" w:eastAsia="宋体" w:cs="Times New Roman"/>
          <w:sz w:val="18"/>
          <w:szCs w:val="18"/>
        </w:rPr>
        <w:t>不适用</w:t>
      </w:r>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6" w:name="_Toc988895"/>
      <w:r>
        <w:rPr>
          <w:rFonts w:hint="default" w:ascii="Times New Roman" w:hAnsi="Times New Roman" w:eastAsia="宋体" w:cs="Times New Roman"/>
          <w:b/>
          <w:bCs/>
          <w:sz w:val="21"/>
          <w:szCs w:val="21"/>
        </w:rPr>
        <w:t>（二） 公司优先股股东总数及前10名优先股股东持股情况表</w:t>
      </w:r>
      <w:bookmarkEnd w:id="6"/>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□适用 </w:t>
      </w:r>
      <w:r>
        <w:rPr>
          <w:rFonts w:hint="eastAsia" w:cs="Times New Roman"/>
          <w:sz w:val="18"/>
          <w:szCs w:val="18"/>
          <w:lang w:eastAsia="zh-CN"/>
        </w:rPr>
        <w:t>☑</w:t>
      </w:r>
      <w:r>
        <w:rPr>
          <w:rFonts w:hint="default" w:ascii="Times New Roman" w:hAnsi="Times New Roman" w:eastAsia="宋体" w:cs="Times New Roman"/>
          <w:sz w:val="18"/>
          <w:szCs w:val="18"/>
        </w:rPr>
        <w:t>不适用</w:t>
      </w:r>
    </w:p>
    <w:p>
      <w:pPr>
        <w:pStyle w:val="10"/>
        <w:keepNext/>
        <w:keepLines/>
        <w:spacing w:before="300" w:after="300" w:line="320" w:lineRule="exact"/>
        <w:jc w:val="left"/>
        <w:outlineLvl w:val="0"/>
        <w:rPr>
          <w:rFonts w:hint="default" w:ascii="Times New Roman" w:hAnsi="Times New Roman" w:eastAsia="宋体" w:cs="Times New Roman"/>
          <w:b/>
          <w:bCs/>
          <w:sz w:val="24"/>
          <w:szCs w:val="24"/>
        </w:rPr>
      </w:pPr>
      <w:bookmarkStart w:id="7" w:name="_Toc988896"/>
      <w:r>
        <w:rPr>
          <w:rFonts w:hint="default" w:ascii="Times New Roman" w:hAnsi="Times New Roman" w:eastAsia="宋体" w:cs="Times New Roman"/>
          <w:b/>
          <w:bCs/>
          <w:sz w:val="24"/>
          <w:szCs w:val="24"/>
        </w:rPr>
        <w:t>三、其他重要事项</w:t>
      </w:r>
      <w:bookmarkEnd w:id="7"/>
    </w:p>
    <w:p>
      <w:pPr>
        <w:spacing w:before="0" w:after="0" w:line="240" w:lineRule="exact"/>
        <w:jc w:val="left"/>
        <w:rPr>
          <w:rFonts w:hint="default" w:ascii="Times New Roman" w:hAnsi="Times New Roman" w:eastAsia="宋体" w:cs="Times New Roman"/>
          <w:sz w:val="18"/>
          <w:szCs w:val="18"/>
        </w:rPr>
      </w:pPr>
      <w:r>
        <w:rPr>
          <w:rFonts w:hint="eastAsia" w:cs="Times New Roman"/>
          <w:sz w:val="18"/>
          <w:szCs w:val="18"/>
          <w:lang w:eastAsia="zh-CN"/>
        </w:rPr>
        <w:t>☑</w:t>
      </w:r>
      <w:r>
        <w:rPr>
          <w:rFonts w:hint="default" w:ascii="Times New Roman" w:hAnsi="Times New Roman" w:eastAsia="宋体" w:cs="Times New Roman"/>
          <w:sz w:val="18"/>
          <w:szCs w:val="18"/>
        </w:rPr>
        <w:t>适用 □不适用</w:t>
      </w:r>
    </w:p>
    <w:p>
      <w:pPr>
        <w:pStyle w:val="6"/>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1.报告期内，公司系统安全生产局面稳定，累计完成发电量92.78亿千瓦时，上网电量88.71亿千瓦时，较去年同期分别增长9.64%、8.27%。</w:t>
      </w:r>
    </w:p>
    <w:p>
      <w:pPr>
        <w:pStyle w:val="6"/>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 报告期内，经公开招投标，公司全资子公司国能长源武汉青山热电有限公司（以下简称青山公司）将其长源电力青山热电脱硫废水深度治理EPC项目交由公司关联方国能水务环保有限公司（以下简称国能水务）实施，项目中标金额为3,670.00368万元（具体内容详见公司于</w:t>
      </w:r>
      <w:r>
        <w:rPr>
          <w:rFonts w:hint="default" w:ascii="Times New Roman" w:hAnsi="Times New Roman" w:eastAsia="宋体" w:cs="Times New Roman"/>
          <w:caps w:val="0"/>
          <w:spacing w:val="0"/>
          <w:sz w:val="24"/>
          <w:szCs w:val="24"/>
        </w:rPr>
        <w:t>2026年1月15日</w:t>
      </w:r>
      <w:r>
        <w:rPr>
          <w:rFonts w:hint="default" w:ascii="Times New Roman" w:hAnsi="Times New Roman" w:eastAsia="宋体" w:cs="Times New Roman"/>
          <w:sz w:val="24"/>
          <w:szCs w:val="24"/>
        </w:rPr>
        <w:t>在《中国证券报》《证券时报》和巨潮资讯网上披露的《关于全资子公司长源电力青山热电脱硫废水深度治理EPC项目关联交易的公告》，公告编号：</w:t>
      </w:r>
      <w:r>
        <w:rPr>
          <w:rFonts w:hint="default" w:ascii="Times New Roman" w:hAnsi="Times New Roman" w:eastAsia="宋体" w:cs="Times New Roman"/>
          <w:caps w:val="0"/>
          <w:spacing w:val="0"/>
          <w:sz w:val="24"/>
          <w:szCs w:val="24"/>
        </w:rPr>
        <w:t>2026-003</w:t>
      </w:r>
      <w:r>
        <w:rPr>
          <w:rFonts w:hint="default" w:ascii="Times New Roman" w:hAnsi="Times New Roman" w:eastAsia="宋体" w:cs="Times New Roman"/>
          <w:sz w:val="24"/>
          <w:szCs w:val="24"/>
        </w:rPr>
        <w:t>）。报告期内，青山公司与</w:t>
      </w:r>
      <w:r>
        <w:rPr>
          <w:rFonts w:hint="default" w:ascii="Times New Roman" w:hAnsi="Times New Roman" w:eastAsia="宋体" w:cs="Times New Roman"/>
          <w:caps w:val="0"/>
          <w:spacing w:val="0"/>
          <w:sz w:val="24"/>
          <w:szCs w:val="24"/>
        </w:rPr>
        <w:t>国能水务</w:t>
      </w:r>
      <w:r>
        <w:rPr>
          <w:rFonts w:hint="default" w:ascii="Times New Roman" w:hAnsi="Times New Roman" w:eastAsia="宋体" w:cs="Times New Roman"/>
          <w:sz w:val="24"/>
          <w:szCs w:val="24"/>
        </w:rPr>
        <w:t>签署了《长源电力青山热电脱硫废水深度治理EPC工程合同》（具体内容详见公司于2026年2</w:t>
      </w:r>
      <w:r>
        <w:rPr>
          <w:rFonts w:hint="default" w:ascii="Times New Roman" w:hAnsi="Times New Roman" w:eastAsia="宋体" w:cs="Times New Roman"/>
          <w:caps w:val="0"/>
          <w:spacing w:val="0"/>
          <w:sz w:val="24"/>
          <w:szCs w:val="24"/>
        </w:rPr>
        <w:t>月5日</w:t>
      </w:r>
      <w:r>
        <w:rPr>
          <w:rFonts w:hint="default" w:ascii="Times New Roman" w:hAnsi="Times New Roman" w:eastAsia="宋体" w:cs="Times New Roman"/>
          <w:sz w:val="24"/>
          <w:szCs w:val="24"/>
        </w:rPr>
        <w:t>在《中国证券报》《证券时报》和巨潮资讯网上披露的《关于全资子公司长源电力青山热电脱硫废水深度治理EPC项目关联交易的进展公告》，公告编号：2026-007）。</w:t>
      </w:r>
    </w:p>
    <w:p>
      <w:pPr>
        <w:pStyle w:val="6"/>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eastAsia" w:cs="Times New Roman"/>
          <w:sz w:val="24"/>
          <w:szCs w:val="24"/>
          <w:lang w:val="en-US" w:eastAsia="zh-CN"/>
        </w:rPr>
        <w:t>3</w:t>
      </w:r>
      <w:r>
        <w:rPr>
          <w:rFonts w:hint="default" w:ascii="Times New Roman" w:hAnsi="Times New Roman" w:eastAsia="宋体" w:cs="Times New Roman"/>
          <w:sz w:val="24"/>
          <w:szCs w:val="24"/>
        </w:rPr>
        <w:t>. 报告期内，</w:t>
      </w:r>
      <w:r>
        <w:rPr>
          <w:rFonts w:hint="default" w:ascii="Times New Roman" w:hAnsi="Times New Roman" w:eastAsia="宋体" w:cs="Times New Roman"/>
          <w:color w:val="000000"/>
          <w:sz w:val="24"/>
          <w:szCs w:val="24"/>
        </w:rPr>
        <w:t>公司</w:t>
      </w:r>
      <w:r>
        <w:rPr>
          <w:rFonts w:hint="default" w:ascii="Times New Roman" w:hAnsi="Times New Roman" w:eastAsia="宋体" w:cs="Times New Roman"/>
          <w:sz w:val="24"/>
          <w:szCs w:val="24"/>
        </w:rPr>
        <w:t>全资子公司国能长源汉川发电有限公司（以下简称汉川公司）</w:t>
      </w:r>
      <w:r>
        <w:rPr>
          <w:rFonts w:hint="default" w:ascii="Times New Roman" w:hAnsi="Times New Roman" w:eastAsia="宋体" w:cs="Times New Roman"/>
          <w:color w:val="000000"/>
          <w:sz w:val="24"/>
          <w:szCs w:val="24"/>
        </w:rPr>
        <w:t>所属国能长源汉川四期2×100万千瓦扩建项目</w:t>
      </w:r>
      <w:r>
        <w:rPr>
          <w:rFonts w:hint="default" w:ascii="Times New Roman" w:hAnsi="Times New Roman" w:eastAsia="宋体" w:cs="Times New Roman"/>
          <w:sz w:val="24"/>
          <w:szCs w:val="24"/>
        </w:rPr>
        <w:t>（以下简称汉川四期项目）8</w:t>
      </w:r>
      <w:r>
        <w:rPr>
          <w:rFonts w:hint="default" w:ascii="Times New Roman" w:hAnsi="Times New Roman" w:eastAsia="宋体" w:cs="Times New Roman"/>
          <w:color w:val="000000"/>
          <w:sz w:val="24"/>
          <w:szCs w:val="24"/>
        </w:rPr>
        <w:t>号机组（100万千瓦）顺利通过168小时满负荷试运行，正式投入商业运营，标志着</w:t>
      </w:r>
      <w:r>
        <w:rPr>
          <w:rFonts w:hint="default" w:ascii="Times New Roman" w:hAnsi="Times New Roman" w:eastAsia="宋体" w:cs="Times New Roman"/>
          <w:sz w:val="24"/>
          <w:szCs w:val="24"/>
        </w:rPr>
        <w:t>汉川四期项目全面建成投产（具体内容详见公司于2026年1</w:t>
      </w:r>
      <w:r>
        <w:rPr>
          <w:rFonts w:hint="default" w:ascii="Times New Roman" w:hAnsi="Times New Roman" w:eastAsia="宋体" w:cs="Times New Roman"/>
          <w:caps w:val="0"/>
          <w:spacing w:val="0"/>
          <w:sz w:val="24"/>
          <w:szCs w:val="24"/>
        </w:rPr>
        <w:t>月20日</w:t>
      </w:r>
      <w:r>
        <w:rPr>
          <w:rFonts w:hint="default" w:ascii="Times New Roman" w:hAnsi="Times New Roman" w:eastAsia="宋体" w:cs="Times New Roman"/>
          <w:sz w:val="24"/>
          <w:szCs w:val="24"/>
        </w:rPr>
        <w:t>在《中国证券报》《证券时报》和巨潮资讯网上披露的《关于国能长源汉川四期2×100万千瓦扩建项目全面建成投产的自愿性信息披露公告》，公告编号：2026-005）。</w:t>
      </w:r>
    </w:p>
    <w:p>
      <w:pPr>
        <w:pStyle w:val="6"/>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eastAsia" w:cs="Times New Roman"/>
          <w:sz w:val="24"/>
          <w:szCs w:val="24"/>
          <w:lang w:val="en-US" w:eastAsia="zh-CN"/>
        </w:rPr>
        <w:t>4</w:t>
      </w:r>
      <w:r>
        <w:rPr>
          <w:rFonts w:hint="default" w:ascii="Times New Roman" w:hAnsi="Times New Roman" w:eastAsia="宋体" w:cs="Times New Roman"/>
          <w:sz w:val="24"/>
          <w:szCs w:val="24"/>
        </w:rPr>
        <w:t>. 截至 2025 年12月31日，公司向特定对象发行股票募集资金已按规定用途全部使用完毕</w:t>
      </w:r>
      <w:r>
        <w:rPr>
          <w:rFonts w:hint="default" w:ascii="Times New Roman" w:hAnsi="Times New Roman" w:eastAsia="宋体" w:cs="Times New Roman"/>
          <w:color w:val="000000"/>
          <w:sz w:val="24"/>
          <w:szCs w:val="24"/>
        </w:rPr>
        <w:t>。报告期内，</w:t>
      </w:r>
      <w:r>
        <w:rPr>
          <w:rFonts w:hint="default" w:ascii="Times New Roman" w:hAnsi="Times New Roman" w:eastAsia="宋体" w:cs="Times New Roman"/>
          <w:sz w:val="24"/>
          <w:szCs w:val="24"/>
        </w:rPr>
        <w:t>公司办理完成了所有募集资金专户的注销手续。本次募集资金专户注销后，公司与募投项目实施主体相关的子公司及保荐人、存放募集资金的商业银行签署的所有募集资金监管协议相应终止（具体内容详见公司2026年2月7日在《中国证券报》《证券时报》和巨潮资讯网上披露的《关于募集资金使用完毕及注销募集资金账户的公告》，公告编号：2026-008）。</w:t>
      </w:r>
    </w:p>
    <w:p>
      <w:pPr>
        <w:pStyle w:val="6"/>
        <w:keepNext w:val="0"/>
        <w:keepLines w:val="0"/>
        <w:widowControl/>
        <w:suppressLineNumbers w:val="0"/>
        <w:rPr>
          <w:rFonts w:hint="default" w:ascii="Times New Roman" w:hAnsi="Times New Roman" w:eastAsia="宋体" w:cs="Times New Roman"/>
          <w:b/>
          <w:bCs/>
          <w:sz w:val="24"/>
          <w:szCs w:val="24"/>
        </w:rPr>
      </w:pPr>
      <w:r>
        <w:rPr>
          <w:rFonts w:hint="default" w:ascii="Times New Roman" w:hAnsi="Times New Roman" w:eastAsia="宋体" w:cs="Times New Roman"/>
          <w:sz w:val="18"/>
          <w:szCs w:val="18"/>
        </w:rPr>
        <w:t> </w:t>
      </w:r>
      <w:bookmarkStart w:id="8" w:name="_Toc988897"/>
      <w:r>
        <w:rPr>
          <w:rFonts w:hint="default" w:ascii="Times New Roman" w:hAnsi="Times New Roman" w:eastAsia="宋体" w:cs="Times New Roman"/>
          <w:b/>
          <w:bCs/>
          <w:sz w:val="24"/>
          <w:szCs w:val="24"/>
        </w:rPr>
        <w:t>四、季度财务报表</w:t>
      </w:r>
      <w:bookmarkEnd w:id="8"/>
    </w:p>
    <w:p>
      <w:pPr>
        <w:pStyle w:val="2"/>
        <w:keepNext/>
        <w:keepLines/>
        <w:spacing w:before="300" w:after="300" w:line="280" w:lineRule="exact"/>
        <w:jc w:val="left"/>
        <w:outlineLvl w:val="1"/>
        <w:rPr>
          <w:rFonts w:hint="default" w:ascii="Times New Roman" w:hAnsi="Times New Roman" w:eastAsia="宋体" w:cs="Times New Roman"/>
          <w:b/>
          <w:bCs/>
          <w:sz w:val="21"/>
          <w:szCs w:val="21"/>
        </w:rPr>
      </w:pPr>
      <w:bookmarkStart w:id="9" w:name="_Toc988898"/>
      <w:r>
        <w:rPr>
          <w:rFonts w:hint="default" w:ascii="Times New Roman" w:hAnsi="Times New Roman" w:eastAsia="宋体" w:cs="Times New Roman"/>
          <w:b/>
          <w:bCs/>
          <w:sz w:val="21"/>
          <w:szCs w:val="21"/>
        </w:rPr>
        <w:t>（一） 财务报表</w:t>
      </w:r>
    </w:p>
    <w:p>
      <w:pPr>
        <w:pStyle w:val="3"/>
        <w:keepNext/>
        <w:keepLines/>
        <w:spacing w:before="300" w:after="300" w:line="280" w:lineRule="exact"/>
        <w:jc w:val="left"/>
        <w:outlineLvl w:val="2"/>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1、合并资产负债表</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编制单位：国家能源集团长源电力股份有限公司</w:t>
      </w:r>
    </w:p>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2026年03月31日</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140,823,314.01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142,629,756.58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19,820,230.80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18,203,471.68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2,340,488,118.19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1,465,878,660.84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373,807,525.15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288,186,760.20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8,851,727.42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10,463,780.49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555,322,089.66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1,091,293,341.08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1,015,174,577.91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1,101,340,778.71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4,454,287,583.14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4,117,996,549.58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281,347,187.03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284,679,431.70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47,592,267.13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47,592,267.13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121,109,555.42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122,572,090.87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33,222,315,422.77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31,532,156,539.24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542,586,892.84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2,491,257,371.01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660,497,865.18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671,423,393.40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805,157,937.66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810,972,053.50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838,524,950.63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838,524,950.63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49,848,400.78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51,415,192.51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148,371,808.21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143,194,929.60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78,881,629.44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74,424,538.00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36,796,233,917.09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37,068,212,757.59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41,250,521,500.23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41,186,209,307.17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7,435,870,003.63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6,117,710,699.96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184,824,472.66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509,724,058.21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2,188,164,104.54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2,590,728,574.52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5,991,320.76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7,179,066.17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81,612,993.18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63,369,195.04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125,042,278.01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121,350,339.04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124,214,498.61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94,005,329.28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625,380,774.94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631,697,049.17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351,162.29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351,162.29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4,741,413,486.88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4,944,246,278.18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7,629,879.34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6,117,876.46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15,520,143,812.55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15,086,128,466.03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11,130,767,131.23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11,636,030,111.06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593,366,836.53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583,199,108.88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5,772,267.48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5,772,267.48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205,793,464.83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208,409,065.49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28,200,339.76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28,514,551.52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11,963,900,039.83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12,461,925,104.43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27,484,043,852.38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27,548,053,570.46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3,481,035,016.00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3,481,035,016.00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5,505,460,635.13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5,505,460,635.13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-21,380,936.91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-24,950,936.91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161,189,094.39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135,454,632.83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295,048,023.61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295,048,023.61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4,033,411,692.88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3,928,754,028.15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13,454,763,525.10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13,320,801,398.81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311,714,122.75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317,354,337.90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13,766,477,647.85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13,638,155,736.71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41,250,521,500.23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41,186,209,307.17</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法定代表人：王冬    主管会计工作负责人：朱虹      会计机构负责人：夏正茂</w:t>
      </w:r>
    </w:p>
    <w:p>
      <w:pPr>
        <w:pStyle w:val="3"/>
        <w:keepNext/>
        <w:keepLines/>
        <w:spacing w:before="300" w:after="300" w:line="280" w:lineRule="exact"/>
        <w:jc w:val="left"/>
        <w:outlineLvl w:val="2"/>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2、合并利润表</w:t>
      </w:r>
    </w:p>
    <w:p>
      <w:pPr>
        <w:spacing w:before="40" w:after="4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3,720,440,412.50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3,329,739,104.65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3,720,440,412.50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3,329,739,104.65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3,570,664,810.59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3,384,858,778.76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3,380,336,918.07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3,191,364,156.77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27,395,286.52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28,468,264.48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35,718,275.35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40,283,865.79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2,453,831.82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12,181,464.84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124,760,498.83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112,561,026.88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122,956,736.36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110,913,705.47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273,974.40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371,959.16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3,779,493.11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6,406,487.49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-3,332,244.67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-4,981,087.91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-3,332,244.67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-4,981,087.91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2,245,289.53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285,314.01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224,732.10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-196,826.94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152,692,871.98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-53,605,787.46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5,599,326.35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1,966,127.01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175,062.63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152,025.95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158,117,135.70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-51,791,686.40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59,543,237.95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27,129,375.46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98,573,897.75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-78,921,061.86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98,573,897.75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-78,921,061.86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104,657,664.73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-73,566,730.77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-6,083,766.98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-5,354,331.09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102,143,897.75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-78,921,061.86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108,227,664.73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-73,566,730.77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-6,083,766.98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-5,354,331.09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0.0301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-0.0211</w:t>
            </w:r>
          </w:p>
        </w:tc>
      </w:tr>
    </w:tbl>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本期发生同一控制下企业合并的，被合并方在合并前实现的净利润为：元，上期被合并方实现的净利润为：元。</w:t>
      </w:r>
    </w:p>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法定代表人：王冬    主管会计工作负责人：朱虹    会计机构负责人：夏正茂</w:t>
      </w:r>
    </w:p>
    <w:p>
      <w:pPr>
        <w:pStyle w:val="3"/>
        <w:keepNext/>
        <w:keepLines/>
        <w:spacing w:before="300" w:after="300" w:line="280" w:lineRule="exact"/>
        <w:jc w:val="left"/>
        <w:outlineLvl w:val="2"/>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3、合并现金流量表</w:t>
      </w:r>
    </w:p>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3,352,306,930.88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4,402,365,360.41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25,862,991.74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90,444,441.79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35,126,205.15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3,442,751,372.67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4,463,354,557.30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2,713,270,107.10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2,867,042,791.66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395,221,789.66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379,158,832.55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93,401,761.55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254,993,154.98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53,847,024.51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71,515,614.18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3,255,740,682.82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3,572,710,393.37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187,010,689.85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890,644,163.93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1,047,214.40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2,022,246.20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5,247,214.40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2,022,246.20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694,448,944.60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1,019,558,434.50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694,448,944.60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1,019,558,434.50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-689,201,730.20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-1,017,536,188.30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5,190,399,229.77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3,194,200,165.90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5,190,399,229.77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3,194,200,165.90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4,569,847,750.67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2,821,963,597.76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117,087,623.37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118,301,130.17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3,079,257.95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1,025,375.74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4,690,014,631.99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2,941,290,103.67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500,384,597.78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252,910,062.23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-1,806,442.57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126,018,037.86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141,854,456.57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229,684,174.16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140,048,014.00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355,702,212.02</w:t>
            </w:r>
          </w:p>
        </w:tc>
      </w:tr>
    </w:tbl>
    <w:p>
      <w:pPr>
        <w:pStyle w:val="2"/>
        <w:keepNext/>
        <w:keepLines/>
        <w:spacing w:before="300" w:after="300" w:line="280" w:lineRule="exact"/>
        <w:jc w:val="left"/>
        <w:outlineLvl w:val="1"/>
        <w:rPr>
          <w:rFonts w:hint="default" w:ascii="Times New Roman" w:hAnsi="Times New Roman" w:eastAsia="宋体" w:cs="Times New Roman"/>
          <w:b/>
          <w:bCs/>
          <w:sz w:val="25"/>
          <w:szCs w:val="25"/>
        </w:rPr>
      </w:pPr>
      <w:r>
        <w:rPr>
          <w:rFonts w:hint="default" w:ascii="Times New Roman" w:hAnsi="Times New Roman" w:eastAsia="宋体" w:cs="Times New Roman"/>
          <w:b/>
          <w:bCs/>
          <w:sz w:val="25"/>
          <w:szCs w:val="25"/>
        </w:rPr>
        <w:t>（二） 2026年起首次执行新会计准则调整首次执行当年年初财务报表相关项目情况</w:t>
      </w:r>
    </w:p>
    <w:bookmarkEnd w:id="9"/>
    <w:p>
      <w:pPr>
        <w:pStyle w:val="2"/>
        <w:keepNext/>
        <w:keepLines/>
        <w:spacing w:before="300" w:after="300" w:line="280" w:lineRule="exact"/>
        <w:outlineLvl w:val="1"/>
        <w:rPr>
          <w:rFonts w:hint="default" w:ascii="Times New Roman" w:hAnsi="Times New Roman" w:eastAsia="宋体" w:cs="Times New Roman"/>
          <w:sz w:val="18"/>
          <w:szCs w:val="18"/>
        </w:rPr>
      </w:pPr>
      <w:r>
        <w:rPr>
          <w:rFonts w:hint="eastAsia" w:cs="Times New Roman"/>
          <w:sz w:val="18"/>
          <w:szCs w:val="18"/>
          <w:lang w:eastAsia="zh-CN"/>
        </w:rPr>
        <w:t>□</w:t>
      </w:r>
      <w:r>
        <w:rPr>
          <w:rFonts w:hint="default" w:ascii="Times New Roman" w:hAnsi="Times New Roman" w:eastAsia="宋体" w:cs="Times New Roman"/>
          <w:sz w:val="18"/>
          <w:szCs w:val="18"/>
        </w:rPr>
        <w:t xml:space="preserve">适用 </w:t>
      </w:r>
      <w:r>
        <w:rPr>
          <w:rFonts w:hint="eastAsia" w:cs="Times New Roman"/>
          <w:sz w:val="18"/>
          <w:szCs w:val="18"/>
          <w:lang w:eastAsia="zh-CN"/>
        </w:rPr>
        <w:t>☑</w:t>
      </w:r>
      <w:r>
        <w:rPr>
          <w:rFonts w:hint="default" w:ascii="Times New Roman" w:hAnsi="Times New Roman" w:eastAsia="宋体" w:cs="Times New Roman"/>
          <w:sz w:val="18"/>
          <w:szCs w:val="18"/>
        </w:rPr>
        <w:t>不适用</w:t>
      </w:r>
    </w:p>
    <w:p>
      <w:pPr>
        <w:pStyle w:val="2"/>
        <w:keepNext/>
        <w:keepLines/>
        <w:spacing w:before="300" w:after="300" w:line="280" w:lineRule="exact"/>
        <w:jc w:val="left"/>
        <w:outlineLvl w:val="1"/>
        <w:rPr>
          <w:rFonts w:hint="default" w:ascii="Times New Roman" w:hAnsi="Times New Roman" w:eastAsia="宋体" w:cs="Times New Roman"/>
          <w:b/>
          <w:bCs/>
          <w:sz w:val="25"/>
          <w:szCs w:val="25"/>
        </w:rPr>
      </w:pPr>
      <w:bookmarkStart w:id="10" w:name="_Toc988903"/>
      <w:r>
        <w:rPr>
          <w:rFonts w:hint="default" w:ascii="Times New Roman" w:hAnsi="Times New Roman" w:eastAsia="宋体" w:cs="Times New Roman"/>
          <w:b/>
          <w:bCs/>
          <w:sz w:val="25"/>
          <w:szCs w:val="25"/>
        </w:rPr>
        <w:t>（三） 审计报告</w:t>
      </w:r>
      <w:bookmarkEnd w:id="10"/>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第一季度财务会计报告是否经过审计</w:t>
      </w:r>
    </w:p>
    <w:p>
      <w:pPr>
        <w:spacing w:before="40" w:after="40" w:line="240" w:lineRule="exact"/>
        <w:jc w:val="left"/>
        <w:rPr>
          <w:rFonts w:hint="default" w:ascii="Times New Roman" w:hAnsi="Times New Roman" w:eastAsia="宋体" w:cs="Times New Roman"/>
          <w:sz w:val="18"/>
          <w:szCs w:val="18"/>
        </w:rPr>
      </w:pPr>
      <w:r>
        <w:rPr>
          <w:rFonts w:hint="eastAsia" w:cs="Times New Roman"/>
          <w:sz w:val="18"/>
          <w:szCs w:val="18"/>
          <w:lang w:eastAsia="zh-CN"/>
        </w:rPr>
        <w:t>□</w:t>
      </w:r>
      <w:r>
        <w:rPr>
          <w:rFonts w:hint="default" w:ascii="Times New Roman" w:hAnsi="Times New Roman" w:eastAsia="宋体" w:cs="Times New Roman"/>
          <w:sz w:val="18"/>
          <w:szCs w:val="18"/>
        </w:rPr>
        <w:t xml:space="preserve">是 </w:t>
      </w:r>
      <w:r>
        <w:rPr>
          <w:rFonts w:hint="eastAsia" w:cs="Times New Roman"/>
          <w:sz w:val="18"/>
          <w:szCs w:val="18"/>
          <w:lang w:eastAsia="zh-CN"/>
        </w:rPr>
        <w:t>☑</w:t>
      </w:r>
      <w:r>
        <w:rPr>
          <w:rFonts w:hint="default" w:ascii="Times New Roman" w:hAnsi="Times New Roman" w:eastAsia="宋体" w:cs="Times New Roman"/>
          <w:sz w:val="18"/>
          <w:szCs w:val="18"/>
        </w:rPr>
        <w:t>否</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公司第一季度财务会计报告未经审计。</w:t>
      </w:r>
    </w:p>
    <w:p>
      <w:pPr>
        <w:spacing w:before="40" w:after="40" w:line="240" w:lineRule="exact"/>
        <w:jc w:val="right"/>
        <w:rPr>
          <w:rFonts w:hint="default" w:ascii="Times New Roman" w:hAnsi="Times New Roman" w:eastAsia="宋体" w:cs="Times New Roman"/>
          <w:sz w:val="24"/>
          <w:szCs w:val="24"/>
        </w:rPr>
      </w:pPr>
    </w:p>
    <w:p>
      <w:pPr>
        <w:spacing w:before="40" w:after="40" w:line="240" w:lineRule="exact"/>
        <w:jc w:val="right"/>
        <w:rPr>
          <w:rFonts w:hint="default" w:ascii="Times New Roman" w:hAnsi="Times New Roman" w:eastAsia="宋体" w:cs="Times New Roman"/>
          <w:sz w:val="24"/>
          <w:szCs w:val="24"/>
        </w:rPr>
      </w:pPr>
    </w:p>
    <w:p>
      <w:pPr>
        <w:spacing w:before="40" w:after="40" w:line="240" w:lineRule="exact"/>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国家能源集团长源电力股份有限公司董事会</w:t>
      </w:r>
    </w:p>
    <w:p>
      <w:pPr>
        <w:spacing w:before="40" w:after="40" w:line="240" w:lineRule="exact"/>
        <w:jc w:val="center"/>
        <w:rPr>
          <w:rFonts w:hint="default" w:ascii="Times New Roman" w:hAnsi="Times New Roman" w:eastAsia="宋体" w:cs="Times New Roman"/>
          <w:sz w:val="18"/>
          <w:szCs w:val="18"/>
        </w:rPr>
      </w:pP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2026年4月2</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1"/>
      </w:pBdr>
    </w:pPr>
    <w:r>
      <w:t>国家能源集团长源电力股份有限公司2026年第一季度报告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compat>
    <w:doNotExpandShiftReturn/>
    <w:useFELayout/>
    <w:compatSetting w:name="compatibilityMode" w:uri="http://schemas.microsoft.com/office/word" w:val="14"/>
  </w:compat>
  <w:rsids>
    <w:rsidRoot w:val="00000000"/>
    <w:rsid w:val="02B818CA"/>
    <w:rsid w:val="0BC20C86"/>
    <w:rsid w:val="127E0E82"/>
    <w:rsid w:val="18A209FB"/>
    <w:rsid w:val="228B2260"/>
    <w:rsid w:val="25602603"/>
    <w:rsid w:val="3B8A5A26"/>
    <w:rsid w:val="585048D3"/>
    <w:rsid w:val="5F9A1376"/>
    <w:rsid w:val="74401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39"/>
  </w:style>
  <w:style w:type="paragraph" w:styleId="5">
    <w:name w:val="toc 2"/>
    <w:basedOn w:val="1"/>
    <w:next w:val="1"/>
    <w:unhideWhenUsed/>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Header 1"/>
    <w:qFormat/>
    <w:uiPriority w:val="0"/>
    <w:pPr>
      <w:jc w:val="right"/>
    </w:pPr>
    <w:rPr>
      <w:rFonts w:ascii="宋体" w:hAnsi="Times New Roman" w:eastAsia="宋体" w:cs="Times New Roman"/>
      <w:sz w:val="18"/>
      <w:szCs w:val="18"/>
    </w:rPr>
  </w:style>
  <w:style w:type="paragraph" w:customStyle="1" w:styleId="10">
    <w:name w:val="heading h1"/>
    <w:basedOn w:val="1"/>
    <w:next w:val="1"/>
    <w:qFormat/>
    <w:uiPriority w:val="9"/>
    <w:pPr>
      <w:keepNext/>
      <w:keepLines/>
      <w:spacing w:before="240" w:after="240" w:line="578" w:lineRule="auto"/>
      <w:outlineLvl w:val="0"/>
    </w:pPr>
    <w:rPr>
      <w:kern w:val="44"/>
      <w:sz w:val="44"/>
      <w:szCs w:val="44"/>
    </w:rPr>
  </w:style>
  <w:style w:type="paragraph" w:customStyle="1" w:styleId="11">
    <w:name w:val="fotter 1"/>
    <w:qFormat/>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2026-04-08T01:51:00Z</dcterms:created>
  <dc:creator>LSadmin</dc:creator>
  <cp:lastModifiedBy>刘硕02</cp:lastModifiedBy>
  <dcterms:modified xsi:type="dcterms:W3CDTF">2026-04-22T09:35:44Z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F9EB022B86A24923B1B5B04324F289C2</vt:lpwstr>
  </property>
</Properties>
</file>